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1EF455" w14:textId="77777777" w:rsidR="00081E39" w:rsidRDefault="00081E39" w:rsidP="00081E39">
      <w:pPr>
        <w:rPr>
          <w:rFonts w:cstheme="minorHAnsi"/>
          <w:lang w:val="en-US"/>
        </w:rPr>
      </w:pPr>
      <w:r>
        <w:rPr>
          <w:rFonts w:cstheme="minorHAnsi"/>
          <w:noProof/>
          <w:lang w:eastAsia="el-GR"/>
        </w:rPr>
        <w:drawing>
          <wp:inline distT="0" distB="0" distL="0" distR="0" wp14:anchorId="4348C542" wp14:editId="59C44932">
            <wp:extent cx="1800000" cy="811399"/>
            <wp:effectExtent l="19050" t="0" r="0" b="0"/>
            <wp:docPr id="1" name="0 - Εικόνα" descr="aedik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ik logo 1.jpg"/>
                    <pic:cNvPicPr/>
                  </pic:nvPicPr>
                  <pic:blipFill>
                    <a:blip r:embed="rId8"/>
                    <a:stretch>
                      <a:fillRect/>
                    </a:stretch>
                  </pic:blipFill>
                  <pic:spPr>
                    <a:xfrm>
                      <a:off x="0" y="0"/>
                      <a:ext cx="1800000" cy="811399"/>
                    </a:xfrm>
                    <a:prstGeom prst="rect">
                      <a:avLst/>
                    </a:prstGeom>
                  </pic:spPr>
                </pic:pic>
              </a:graphicData>
            </a:graphic>
          </wp:inline>
        </w:drawing>
      </w:r>
    </w:p>
    <w:p w14:paraId="26901DCC" w14:textId="77777777" w:rsidR="00081E39" w:rsidRDefault="00081E39" w:rsidP="00EE00A1">
      <w:pPr>
        <w:spacing w:line="600" w:lineRule="auto"/>
        <w:jc w:val="right"/>
        <w:rPr>
          <w:rFonts w:cstheme="minorHAnsi"/>
          <w:lang w:val="en-US"/>
        </w:rPr>
      </w:pPr>
    </w:p>
    <w:p w14:paraId="01D3E871" w14:textId="1DDA9CFC" w:rsidR="00081E39" w:rsidRPr="00081E39" w:rsidRDefault="00081E39" w:rsidP="00081E39">
      <w:pPr>
        <w:jc w:val="right"/>
        <w:rPr>
          <w:rFonts w:cstheme="minorHAnsi"/>
          <w:lang w:val="el-GR"/>
        </w:rPr>
      </w:pPr>
      <w:proofErr w:type="spellStart"/>
      <w:r w:rsidRPr="00F43F33">
        <w:rPr>
          <w:rFonts w:cstheme="minorHAnsi"/>
          <w:lang w:val="el-GR"/>
        </w:rPr>
        <w:t>Αρ</w:t>
      </w:r>
      <w:proofErr w:type="spellEnd"/>
      <w:r w:rsidRPr="00F43F33">
        <w:rPr>
          <w:rFonts w:cstheme="minorHAnsi"/>
          <w:lang w:val="el-GR"/>
        </w:rPr>
        <w:t xml:space="preserve">. </w:t>
      </w:r>
      <w:r w:rsidR="009054DD" w:rsidRPr="00F43F33">
        <w:rPr>
          <w:rFonts w:cstheme="minorHAnsi"/>
          <w:lang w:val="el-GR"/>
        </w:rPr>
        <w:t xml:space="preserve"> </w:t>
      </w:r>
      <w:proofErr w:type="spellStart"/>
      <w:r w:rsidR="009054DD" w:rsidRPr="00F43F33">
        <w:rPr>
          <w:rFonts w:cstheme="minorHAnsi"/>
          <w:lang w:val="el-GR"/>
        </w:rPr>
        <w:t>Πρωτ</w:t>
      </w:r>
      <w:proofErr w:type="spellEnd"/>
      <w:r w:rsidRPr="00F43F33">
        <w:rPr>
          <w:rFonts w:cstheme="minorHAnsi"/>
          <w:lang w:val="el-GR"/>
        </w:rPr>
        <w:t xml:space="preserve">.: </w:t>
      </w:r>
      <w:r w:rsidR="00325C18" w:rsidRPr="00F43F33">
        <w:rPr>
          <w:rFonts w:cstheme="minorHAnsi"/>
          <w:lang w:val="el-GR"/>
        </w:rPr>
        <w:t>57</w:t>
      </w:r>
      <w:r w:rsidR="0006140C" w:rsidRPr="00BA7E51">
        <w:rPr>
          <w:rFonts w:cstheme="minorHAnsi"/>
          <w:lang w:val="el-GR"/>
        </w:rPr>
        <w:t>3</w:t>
      </w:r>
      <w:r w:rsidRPr="00F43F33">
        <w:rPr>
          <w:rFonts w:cstheme="minorHAnsi"/>
          <w:lang w:val="el-GR"/>
        </w:rPr>
        <w:t xml:space="preserve"> ΕΞ./</w:t>
      </w:r>
      <w:r w:rsidR="005B269F" w:rsidRPr="00F43F33">
        <w:rPr>
          <w:rFonts w:cstheme="minorHAnsi"/>
          <w:lang w:val="el-GR"/>
        </w:rPr>
        <w:t>27</w:t>
      </w:r>
      <w:r w:rsidR="009054DD" w:rsidRPr="00F43F33">
        <w:rPr>
          <w:rFonts w:cstheme="minorHAnsi"/>
          <w:lang w:val="el-GR"/>
        </w:rPr>
        <w:t>-04</w:t>
      </w:r>
      <w:r w:rsidRPr="00F43F33">
        <w:rPr>
          <w:rFonts w:cstheme="minorHAnsi"/>
          <w:lang w:val="el-GR"/>
        </w:rPr>
        <w:t>-20</w:t>
      </w:r>
    </w:p>
    <w:p w14:paraId="3988D58C" w14:textId="77777777" w:rsidR="00D41FD6" w:rsidRDefault="00D41FD6">
      <w:pPr>
        <w:rPr>
          <w:szCs w:val="22"/>
          <w:lang w:val="el-GR"/>
        </w:rPr>
      </w:pPr>
    </w:p>
    <w:p w14:paraId="517532ED" w14:textId="6FCE6BF9" w:rsidR="00276AAE" w:rsidRDefault="000D3944" w:rsidP="00276AAE">
      <w:pPr>
        <w:pStyle w:val="Style1"/>
      </w:pPr>
      <w:r>
        <w:t xml:space="preserve">ΠΡΟΣΚΛΗΣΗ </w:t>
      </w:r>
    </w:p>
    <w:p w14:paraId="182FA17D" w14:textId="1750CF62" w:rsidR="00890DDF" w:rsidRDefault="000D3944" w:rsidP="00276AAE">
      <w:pPr>
        <w:pStyle w:val="Style1"/>
      </w:pPr>
      <w:r>
        <w:t xml:space="preserve">ΓΙΑ ΤΗΝ ΥΠΟΒΟΛΗ </w:t>
      </w:r>
      <w:bookmarkStart w:id="0" w:name="_Toc13748890"/>
      <w:r>
        <w:t>ΠΡΟΣΦΟΡΩΝ</w:t>
      </w:r>
    </w:p>
    <w:p w14:paraId="765307C2" w14:textId="1230A391" w:rsidR="00890DDF" w:rsidRDefault="000D3944" w:rsidP="00890DDF">
      <w:pPr>
        <w:pStyle w:val="Style1"/>
      </w:pPr>
      <w:r>
        <w:t xml:space="preserve">ΓΙΑ ΣΥΝΑΨΗ ΣΥΜΒΑΣΗΣ </w:t>
      </w:r>
      <w:r>
        <w:br/>
        <w:t>ΠΑΡΟΧΗΣ ΓΕΝΙΚΩΝ ΥΠΗΡΕΣΙΩΝ</w:t>
      </w:r>
      <w:bookmarkEnd w:id="0"/>
    </w:p>
    <w:p w14:paraId="6A5D8506" w14:textId="77777777" w:rsidR="000F0DB3" w:rsidRDefault="000D3944">
      <w:pPr>
        <w:pStyle w:val="Style1"/>
      </w:pPr>
      <w:r>
        <w:t xml:space="preserve">ΣΥΜΒΟΥΛΟΥ ΑΣΦΑΛΙΣΗΣ </w:t>
      </w:r>
    </w:p>
    <w:p w14:paraId="20C53895" w14:textId="63359AE5" w:rsidR="00D41FD6" w:rsidRDefault="000D3944" w:rsidP="0082649E">
      <w:pPr>
        <w:pStyle w:val="Style1"/>
        <w:rPr>
          <w:b w:val="0"/>
          <w:bCs w:val="0"/>
          <w:color w:val="000000"/>
        </w:rPr>
      </w:pPr>
      <w:r>
        <w:t>ΤΟΥ ΔΙΑΥΛΟΥ</w:t>
      </w:r>
      <w:r w:rsidR="004561D4">
        <w:t xml:space="preserve"> </w:t>
      </w:r>
      <w:r>
        <w:t>ΤΗΣ ΔΙΩΡΥΓΑΣ ΚΟΡΙΝΘΟΥ</w:t>
      </w:r>
      <w:r w:rsidR="00253B94">
        <w:br/>
      </w:r>
      <w:r w:rsidRPr="000D3944">
        <w:t>ΜΕ ΤΗ ΔΙΑΔΙΚΑΣΙΑ ΤΗΣ ΑΠ’ ΕΥΘΕΙΑΣ ΑΝΑΘΕΣΗΣ</w:t>
      </w:r>
      <w:r w:rsidR="00D41FD6">
        <w:rPr>
          <w:sz w:val="22"/>
          <w:szCs w:val="22"/>
        </w:rPr>
        <w:br/>
      </w:r>
      <w:r w:rsidR="00D41FD6">
        <w:rPr>
          <w:sz w:val="22"/>
          <w:szCs w:val="22"/>
        </w:rPr>
        <w:br/>
      </w:r>
    </w:p>
    <w:p w14:paraId="49187A34" w14:textId="77777777" w:rsidR="00D41FD6" w:rsidRDefault="00D41FD6">
      <w:pPr>
        <w:pStyle w:val="normalwithoutspacing"/>
        <w:jc w:val="center"/>
      </w:pPr>
    </w:p>
    <w:p w14:paraId="4B150112" w14:textId="77777777" w:rsidR="00D41FD6" w:rsidRPr="00C91DFC" w:rsidRDefault="00D41FD6" w:rsidP="00461DF4">
      <w:pPr>
        <w:pStyle w:val="Heading1"/>
        <w:numPr>
          <w:ilvl w:val="0"/>
          <w:numId w:val="3"/>
        </w:numPr>
        <w:tabs>
          <w:tab w:val="left" w:pos="567"/>
        </w:tabs>
        <w:spacing w:line="360" w:lineRule="auto"/>
        <w:ind w:left="567" w:hanging="567"/>
        <w:rPr>
          <w:lang w:val="el-GR"/>
        </w:rPr>
      </w:pPr>
      <w:bookmarkStart w:id="1" w:name="_Toc13748892"/>
      <w:r>
        <w:rPr>
          <w:rFonts w:ascii="Calibri" w:hAnsi="Calibri"/>
          <w:lang w:val="el-GR"/>
        </w:rPr>
        <w:lastRenderedPageBreak/>
        <w:t>ΑΝΑΘΕΤΟΥΣΑ ΑΡΧΗ ΚΑΙ ΑΝΤΙΚΕΙΜΕΝΟ ΣΥΜΒΑΣΗΣ</w:t>
      </w:r>
      <w:bookmarkEnd w:id="1"/>
    </w:p>
    <w:p w14:paraId="7FD6E3C1" w14:textId="77777777" w:rsidR="00D41FD6" w:rsidRPr="00D83FC1" w:rsidRDefault="00D41FD6" w:rsidP="00461DF4">
      <w:pPr>
        <w:pStyle w:val="Heading2"/>
        <w:spacing w:line="360" w:lineRule="auto"/>
        <w:rPr>
          <w:lang w:val="el-GR"/>
        </w:rPr>
      </w:pPr>
      <w:bookmarkStart w:id="2" w:name="_Toc13748893"/>
      <w:r>
        <w:rPr>
          <w:rFonts w:ascii="Calibri" w:hAnsi="Calibri"/>
          <w:lang w:val="el-GR"/>
        </w:rPr>
        <w:t>1.1</w:t>
      </w:r>
      <w:r>
        <w:rPr>
          <w:rFonts w:ascii="Calibri" w:hAnsi="Calibri"/>
          <w:lang w:val="el-GR"/>
        </w:rPr>
        <w:tab/>
        <w:t>Στοιχεία Αναθέτουσας Αρχής</w:t>
      </w:r>
      <w:bookmarkEnd w:id="2"/>
      <w:r>
        <w:rPr>
          <w:rFonts w:ascii="Calibri" w:hAnsi="Calibri"/>
          <w:lang w:val="el-GR"/>
        </w:rPr>
        <w:t xml:space="preserve"> </w:t>
      </w:r>
    </w:p>
    <w:p w14:paraId="71EC699B" w14:textId="77777777" w:rsidR="00D41FD6" w:rsidRDefault="00D41FD6" w:rsidP="00461DF4">
      <w:pPr>
        <w:pStyle w:val="normalwithoutspacing"/>
        <w:spacing w:line="360" w:lineRule="auto"/>
        <w:rPr>
          <w:b/>
        </w:rPr>
      </w:pPr>
    </w:p>
    <w:tbl>
      <w:tblPr>
        <w:tblW w:w="0" w:type="auto"/>
        <w:tblInd w:w="108" w:type="dxa"/>
        <w:tblLayout w:type="fixed"/>
        <w:tblLook w:val="0000" w:firstRow="0" w:lastRow="0" w:firstColumn="0" w:lastColumn="0" w:noHBand="0" w:noVBand="0"/>
      </w:tblPr>
      <w:tblGrid>
        <w:gridCol w:w="3969"/>
        <w:gridCol w:w="5625"/>
      </w:tblGrid>
      <w:tr w:rsidR="006C5BC3" w:rsidRPr="00C14C03" w14:paraId="68790EF9"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159C6150" w14:textId="77777777" w:rsidR="006C5BC3" w:rsidRDefault="006C5BC3" w:rsidP="00461DF4">
            <w:pPr>
              <w:pStyle w:val="normalwithoutspacing"/>
              <w:spacing w:line="360" w:lineRule="auto"/>
              <w:jc w:val="left"/>
            </w:pPr>
            <w:r>
              <w:t>Επωνυμία</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F33C" w14:textId="77777777" w:rsidR="006C5BC3" w:rsidRDefault="006C5BC3" w:rsidP="00461DF4">
            <w:pPr>
              <w:pStyle w:val="normalwithoutspacing"/>
              <w:snapToGrid w:val="0"/>
              <w:spacing w:line="360" w:lineRule="auto"/>
              <w:jc w:val="left"/>
            </w:pPr>
            <w:r>
              <w:t>ΑΝΩΝΥΜΟΣ ΕΤΑΙΡΕΙΑ ΔΙΩΡΥΓΟΣ ΚΟΡΙΝΘΟΥ Α.Ε.</w:t>
            </w:r>
            <w:r w:rsidR="00586FAD">
              <w:t xml:space="preserve"> (Α.Ε.ΔΙ.Κ.)</w:t>
            </w:r>
          </w:p>
        </w:tc>
      </w:tr>
      <w:tr w:rsidR="006C5BC3" w14:paraId="3385B268"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07405FEB" w14:textId="77777777" w:rsidR="006C5BC3" w:rsidRDefault="006C5BC3" w:rsidP="00461DF4">
            <w:pPr>
              <w:pStyle w:val="normalwithoutspacing"/>
              <w:spacing w:line="360" w:lineRule="auto"/>
              <w:jc w:val="left"/>
            </w:pPr>
            <w:r>
              <w:t>Ταχυδρομική διεύθυνση</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7EB5" w14:textId="77777777" w:rsidR="006C5BC3" w:rsidRDefault="006C5BC3" w:rsidP="00461DF4">
            <w:pPr>
              <w:pStyle w:val="normalwithoutspacing"/>
              <w:snapToGrid w:val="0"/>
              <w:spacing w:line="360" w:lineRule="auto"/>
              <w:jc w:val="left"/>
            </w:pPr>
            <w:r>
              <w:t>ΙΠΠΟΚΡΑΤΟΥΣ 88</w:t>
            </w:r>
          </w:p>
        </w:tc>
      </w:tr>
      <w:tr w:rsidR="006C5BC3" w14:paraId="1B4995E2"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2B1A12A7" w14:textId="77777777" w:rsidR="006C5BC3" w:rsidRDefault="006C5BC3" w:rsidP="00461DF4">
            <w:pPr>
              <w:pStyle w:val="normalwithoutspacing"/>
              <w:spacing w:line="360" w:lineRule="auto"/>
              <w:jc w:val="left"/>
            </w:pPr>
            <w:r>
              <w:t>Πόλη</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6677" w14:textId="77777777" w:rsidR="006C5BC3" w:rsidRDefault="006C5BC3" w:rsidP="00461DF4">
            <w:pPr>
              <w:pStyle w:val="normalwithoutspacing"/>
              <w:snapToGrid w:val="0"/>
              <w:spacing w:line="360" w:lineRule="auto"/>
              <w:jc w:val="left"/>
            </w:pPr>
            <w:r>
              <w:t>ΑΘΗΝΑ</w:t>
            </w:r>
          </w:p>
        </w:tc>
      </w:tr>
      <w:tr w:rsidR="006C5BC3" w14:paraId="6B42230D"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7107D0D8" w14:textId="77777777" w:rsidR="006C5BC3" w:rsidRDefault="006C5BC3" w:rsidP="00461DF4">
            <w:pPr>
              <w:pStyle w:val="normalwithoutspacing"/>
              <w:spacing w:line="360" w:lineRule="auto"/>
              <w:jc w:val="left"/>
            </w:pPr>
            <w:r>
              <w:t>Ταχυδρομικός Κωδικός</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F530" w14:textId="77777777" w:rsidR="006C5BC3" w:rsidRDefault="006C5BC3" w:rsidP="00461DF4">
            <w:pPr>
              <w:pStyle w:val="normalwithoutspacing"/>
              <w:snapToGrid w:val="0"/>
              <w:spacing w:line="360" w:lineRule="auto"/>
              <w:jc w:val="left"/>
            </w:pPr>
            <w:r>
              <w:t>11472</w:t>
            </w:r>
          </w:p>
        </w:tc>
      </w:tr>
      <w:tr w:rsidR="006C5BC3" w14:paraId="6538EE5E"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6347AA26" w14:textId="77777777" w:rsidR="006C5BC3" w:rsidRDefault="006C5BC3" w:rsidP="00461DF4">
            <w:pPr>
              <w:pStyle w:val="normalwithoutspacing"/>
              <w:spacing w:line="360" w:lineRule="auto"/>
              <w:jc w:val="left"/>
            </w:pPr>
            <w:r>
              <w:t>Χώρα</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5A88" w14:textId="77777777" w:rsidR="006C5BC3" w:rsidRDefault="006C5BC3" w:rsidP="00461DF4">
            <w:pPr>
              <w:pStyle w:val="normalwithoutspacing"/>
              <w:snapToGrid w:val="0"/>
              <w:spacing w:line="360" w:lineRule="auto"/>
              <w:jc w:val="left"/>
            </w:pPr>
            <w:r>
              <w:t>ΕΛΛΑΔΑ</w:t>
            </w:r>
          </w:p>
        </w:tc>
      </w:tr>
      <w:tr w:rsidR="006C5BC3" w14:paraId="7A08C8DE"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541D799E" w14:textId="77777777" w:rsidR="006C5BC3" w:rsidRDefault="006C5BC3" w:rsidP="00461DF4">
            <w:pPr>
              <w:pStyle w:val="normalwithoutspacing"/>
              <w:spacing w:line="360" w:lineRule="auto"/>
              <w:jc w:val="left"/>
            </w:pPr>
            <w:r>
              <w:t>Κωδικός ΝUTS</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8AB4" w14:textId="77777777" w:rsidR="006C5BC3" w:rsidRDefault="00980C23" w:rsidP="00461DF4">
            <w:pPr>
              <w:pStyle w:val="normalwithoutspacing"/>
              <w:snapToGrid w:val="0"/>
              <w:spacing w:line="360" w:lineRule="auto"/>
              <w:jc w:val="left"/>
            </w:pPr>
            <w:r w:rsidRPr="00980C23">
              <w:t>EL652</w:t>
            </w:r>
          </w:p>
        </w:tc>
      </w:tr>
      <w:tr w:rsidR="006C5BC3" w14:paraId="7B1D6574"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3E0EF6AB" w14:textId="77777777" w:rsidR="006C5BC3" w:rsidRDefault="006C5BC3" w:rsidP="00461DF4">
            <w:pPr>
              <w:pStyle w:val="normalwithoutspacing"/>
              <w:spacing w:line="360" w:lineRule="auto"/>
              <w:jc w:val="left"/>
            </w:pPr>
            <w:r>
              <w:t>Τηλέφωνο</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C813" w14:textId="77777777" w:rsidR="006C5BC3" w:rsidRDefault="006C5BC3" w:rsidP="00461DF4">
            <w:pPr>
              <w:pStyle w:val="normalwithoutspacing"/>
              <w:snapToGrid w:val="0"/>
              <w:spacing w:line="360" w:lineRule="auto"/>
              <w:jc w:val="left"/>
            </w:pPr>
            <w:r>
              <w:t>2103632185</w:t>
            </w:r>
          </w:p>
        </w:tc>
      </w:tr>
      <w:tr w:rsidR="006C5BC3" w14:paraId="36E21E2E"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31CA0A34" w14:textId="77777777" w:rsidR="006C5BC3" w:rsidRDefault="006C5BC3" w:rsidP="00461DF4">
            <w:pPr>
              <w:pStyle w:val="normalwithoutspacing"/>
              <w:spacing w:line="360" w:lineRule="auto"/>
              <w:jc w:val="left"/>
            </w:pPr>
            <w:r>
              <w:t>Φαξ</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387F" w14:textId="77777777" w:rsidR="006C5BC3" w:rsidRDefault="006C5BC3" w:rsidP="00461DF4">
            <w:pPr>
              <w:pStyle w:val="normalwithoutspacing"/>
              <w:snapToGrid w:val="0"/>
              <w:spacing w:line="360" w:lineRule="auto"/>
              <w:jc w:val="left"/>
            </w:pPr>
            <w:r>
              <w:rPr>
                <w:lang w:val="en-US"/>
              </w:rPr>
              <w:t>2</w:t>
            </w:r>
            <w:r>
              <w:t>103609082</w:t>
            </w:r>
          </w:p>
        </w:tc>
      </w:tr>
      <w:tr w:rsidR="006C5BC3" w14:paraId="5F597241"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1BAC8D79" w14:textId="77777777" w:rsidR="006C5BC3" w:rsidRDefault="006C5BC3" w:rsidP="00461DF4">
            <w:pPr>
              <w:pStyle w:val="normalwithoutspacing"/>
              <w:spacing w:line="360" w:lineRule="auto"/>
              <w:jc w:val="left"/>
            </w:pPr>
            <w:r>
              <w:t>Ηλεκτρονικό Ταχυδρομείο</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C2EBA" w14:textId="77777777" w:rsidR="006C5BC3" w:rsidRDefault="006C5BC3" w:rsidP="00461DF4">
            <w:pPr>
              <w:pStyle w:val="normalwithoutspacing"/>
              <w:snapToGrid w:val="0"/>
              <w:spacing w:line="360" w:lineRule="auto"/>
              <w:jc w:val="left"/>
            </w:pPr>
            <w:r>
              <w:rPr>
                <w:lang w:val="en-US"/>
              </w:rPr>
              <w:t>info@aedik.gr</w:t>
            </w:r>
          </w:p>
        </w:tc>
      </w:tr>
      <w:tr w:rsidR="006C5BC3" w14:paraId="4ED5585B"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05811BE8" w14:textId="77777777" w:rsidR="006C5BC3" w:rsidRDefault="006C5BC3" w:rsidP="00461DF4">
            <w:pPr>
              <w:pStyle w:val="normalwithoutspacing"/>
              <w:spacing w:line="360" w:lineRule="auto"/>
              <w:jc w:val="left"/>
            </w:pPr>
            <w:r>
              <w:t>Αρμόδιος για πληροφορίες</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4329" w14:textId="77777777" w:rsidR="006C5BC3" w:rsidRDefault="006963C0" w:rsidP="00461DF4">
            <w:pPr>
              <w:pStyle w:val="normalwithoutspacing"/>
              <w:snapToGrid w:val="0"/>
              <w:spacing w:line="360" w:lineRule="auto"/>
              <w:jc w:val="left"/>
            </w:pPr>
            <w:r w:rsidRPr="006963C0">
              <w:t>ΤΜΗΜΑ ΠΡΟΜΗΘΕΙΩΝ</w:t>
            </w:r>
          </w:p>
        </w:tc>
      </w:tr>
      <w:tr w:rsidR="006C5BC3" w:rsidRPr="006B2C94" w14:paraId="78B5BF5E" w14:textId="77777777" w:rsidTr="00461DF4">
        <w:tc>
          <w:tcPr>
            <w:tcW w:w="3969" w:type="dxa"/>
            <w:tcBorders>
              <w:top w:val="single" w:sz="4" w:space="0" w:color="000000"/>
              <w:left w:val="single" w:sz="4" w:space="0" w:color="000000"/>
              <w:bottom w:val="single" w:sz="4" w:space="0" w:color="000000"/>
            </w:tcBorders>
            <w:shd w:val="clear" w:color="auto" w:fill="auto"/>
            <w:vAlign w:val="center"/>
          </w:tcPr>
          <w:p w14:paraId="69AB7A71" w14:textId="77777777" w:rsidR="006C5BC3" w:rsidRDefault="006C5BC3" w:rsidP="00461DF4">
            <w:pPr>
              <w:pStyle w:val="normalwithoutspacing"/>
              <w:spacing w:line="360" w:lineRule="auto"/>
              <w:jc w:val="left"/>
            </w:pPr>
            <w:r>
              <w:t>Γενική Διεύθυνση στο διαδίκτυο (URL)</w:t>
            </w:r>
            <w:r w:rsidR="002811E4">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23A7" w14:textId="77777777" w:rsidR="006C5BC3" w:rsidRDefault="006C5BC3" w:rsidP="00461DF4">
            <w:pPr>
              <w:pStyle w:val="normalwithoutspacing"/>
              <w:snapToGrid w:val="0"/>
              <w:spacing w:line="360" w:lineRule="auto"/>
              <w:jc w:val="left"/>
            </w:pPr>
            <w:r>
              <w:rPr>
                <w:lang w:val="en-US"/>
              </w:rPr>
              <w:t>www.aedik.gr</w:t>
            </w:r>
          </w:p>
        </w:tc>
      </w:tr>
    </w:tbl>
    <w:p w14:paraId="6F7B632B" w14:textId="77777777" w:rsidR="00D41FD6" w:rsidRDefault="00D41FD6" w:rsidP="00461DF4">
      <w:pPr>
        <w:pStyle w:val="normalwithoutspacing"/>
        <w:spacing w:line="360" w:lineRule="auto"/>
      </w:pPr>
    </w:p>
    <w:p w14:paraId="6B9869B8" w14:textId="77777777" w:rsidR="00D41FD6" w:rsidRDefault="00D41FD6" w:rsidP="000C607D">
      <w:pPr>
        <w:pStyle w:val="normalwithoutspacing"/>
        <w:spacing w:line="360" w:lineRule="auto"/>
      </w:pPr>
      <w:r>
        <w:rPr>
          <w:b/>
        </w:rPr>
        <w:t xml:space="preserve">Είδος Αναθέτουσας Αρχής </w:t>
      </w:r>
    </w:p>
    <w:p w14:paraId="511CB6D9" w14:textId="77777777" w:rsidR="00D41FD6" w:rsidRPr="006C5BC3" w:rsidRDefault="00D41FD6" w:rsidP="00461DF4">
      <w:pPr>
        <w:pStyle w:val="normalwithoutspacing"/>
        <w:spacing w:line="360" w:lineRule="auto"/>
        <w:rPr>
          <w:rFonts w:eastAsia="Calibri"/>
        </w:rPr>
      </w:pPr>
      <w:r>
        <w:t xml:space="preserve">Η Αναθέτουσα Αρχή είναι </w:t>
      </w:r>
      <w:r w:rsidR="006C5BC3" w:rsidRPr="006C5BC3">
        <w:t>Α</w:t>
      </w:r>
      <w:r w:rsidR="006C5BC3">
        <w:t xml:space="preserve">νώνυμη </w:t>
      </w:r>
      <w:r w:rsidR="00A45DAA">
        <w:t xml:space="preserve">Εταιρεία </w:t>
      </w:r>
      <w:r w:rsidR="006C5BC3" w:rsidRPr="006C5BC3">
        <w:t>του Δημοσίου και ανήκει στο</w:t>
      </w:r>
      <w:r w:rsidR="00743AF5">
        <w:t xml:space="preserve"> </w:t>
      </w:r>
      <w:r w:rsidR="006C5BC3" w:rsidRPr="006C5BC3">
        <w:t xml:space="preserve">Δημόσιο </w:t>
      </w:r>
      <w:r w:rsidR="00743AF5">
        <w:t>Τ</w:t>
      </w:r>
      <w:r w:rsidR="00743AF5" w:rsidRPr="006C5BC3">
        <w:t>ομέα</w:t>
      </w:r>
      <w:r w:rsidR="006C5BC3">
        <w:t>.</w:t>
      </w:r>
    </w:p>
    <w:p w14:paraId="559F782D" w14:textId="77777777" w:rsidR="00D41FD6" w:rsidRDefault="00D41FD6" w:rsidP="00461DF4">
      <w:pPr>
        <w:pStyle w:val="normalwithoutspacing"/>
        <w:spacing w:line="360" w:lineRule="auto"/>
      </w:pPr>
    </w:p>
    <w:p w14:paraId="61D22BEA" w14:textId="77777777" w:rsidR="00D41FD6" w:rsidRDefault="00D41FD6" w:rsidP="00461DF4">
      <w:pPr>
        <w:pStyle w:val="normalwithoutspacing"/>
        <w:spacing w:line="360" w:lineRule="auto"/>
      </w:pPr>
      <w:r>
        <w:rPr>
          <w:b/>
        </w:rPr>
        <w:t>Κύρια δραστηριότητα Α.Α.</w:t>
      </w:r>
    </w:p>
    <w:p w14:paraId="56EB9A7B" w14:textId="77777777" w:rsidR="00D41FD6" w:rsidRPr="006C5BC3" w:rsidRDefault="007A2381" w:rsidP="00FD02C6">
      <w:pPr>
        <w:pStyle w:val="normalwithoutspacing"/>
        <w:spacing w:line="360" w:lineRule="auto"/>
      </w:pPr>
      <w:r w:rsidRPr="007A2381">
        <w:t>Η κύρια δραστηριότητα της ΑΕΔΙΚ είναι η εκμετάλλευση της Διώρυγας Κορίνθου</w:t>
      </w:r>
      <w:r w:rsidR="006C5BC3">
        <w:t>.</w:t>
      </w:r>
    </w:p>
    <w:p w14:paraId="27923ECC" w14:textId="77777777" w:rsidR="00D41FD6" w:rsidRDefault="00D41FD6" w:rsidP="00B81A84">
      <w:pPr>
        <w:pStyle w:val="normalwithoutspacing"/>
        <w:spacing w:line="360" w:lineRule="auto"/>
      </w:pPr>
      <w:r>
        <w:t xml:space="preserve">Εφαρμοστέο εθνικό δίκαιο είναι το </w:t>
      </w:r>
      <w:r w:rsidR="006C5BC3">
        <w:t>Ελληνικό</w:t>
      </w:r>
      <w:r w:rsidR="00A45DAA">
        <w:t>.</w:t>
      </w:r>
    </w:p>
    <w:p w14:paraId="307FD0FB" w14:textId="77777777" w:rsidR="00D41FD6" w:rsidRDefault="00D41FD6" w:rsidP="00B81A84">
      <w:pPr>
        <w:pStyle w:val="normalwithoutspacing"/>
        <w:spacing w:line="360" w:lineRule="auto"/>
        <w:ind w:left="567" w:hanging="567"/>
      </w:pPr>
    </w:p>
    <w:p w14:paraId="328101DB" w14:textId="77777777" w:rsidR="00D41FD6" w:rsidRPr="006B2C94" w:rsidRDefault="00D41FD6" w:rsidP="003C1850">
      <w:pPr>
        <w:pStyle w:val="Heading2"/>
        <w:spacing w:line="360" w:lineRule="auto"/>
        <w:rPr>
          <w:lang w:val="el-GR"/>
        </w:rPr>
      </w:pPr>
      <w:bookmarkStart w:id="3" w:name="_Toc13748894"/>
      <w:r>
        <w:rPr>
          <w:rFonts w:ascii="Calibri" w:hAnsi="Calibri"/>
          <w:lang w:val="el-GR"/>
        </w:rPr>
        <w:t>1.2</w:t>
      </w:r>
      <w:r>
        <w:rPr>
          <w:rFonts w:ascii="Calibri" w:hAnsi="Calibri"/>
          <w:lang w:val="el-GR"/>
        </w:rPr>
        <w:tab/>
        <w:t>Στοιχεία Διαδικασίας-Χρηματοδότηση</w:t>
      </w:r>
      <w:bookmarkEnd w:id="3"/>
    </w:p>
    <w:p w14:paraId="1A30EBC7" w14:textId="77777777" w:rsidR="00D41FD6" w:rsidRPr="006B2C94" w:rsidRDefault="00D41FD6" w:rsidP="003C1850">
      <w:pPr>
        <w:spacing w:line="360" w:lineRule="auto"/>
        <w:rPr>
          <w:lang w:val="el-GR"/>
        </w:rPr>
      </w:pPr>
      <w:r>
        <w:rPr>
          <w:b/>
          <w:lang w:val="el-GR"/>
        </w:rPr>
        <w:t xml:space="preserve">Είδος διαδικασίας </w:t>
      </w:r>
    </w:p>
    <w:p w14:paraId="61D1F421" w14:textId="77777777" w:rsidR="00D41FD6" w:rsidRDefault="00C91DFC" w:rsidP="003C1850">
      <w:pPr>
        <w:pStyle w:val="normalwithoutspacing"/>
        <w:spacing w:line="360" w:lineRule="auto"/>
      </w:pPr>
      <w:r>
        <w:t xml:space="preserve">Η σύμβαση συνάπτεται δυνάμει των σχετικών διατάξεων περί απευθείας ανάθεση </w:t>
      </w:r>
      <w:r w:rsidR="00D41FD6">
        <w:t xml:space="preserve">του </w:t>
      </w:r>
      <w:r w:rsidR="00FD142B">
        <w:t>Ν</w:t>
      </w:r>
      <w:r w:rsidR="00D41FD6">
        <w:t>. 4412/16</w:t>
      </w:r>
      <w:r w:rsidR="00FD142B">
        <w:t>.</w:t>
      </w:r>
    </w:p>
    <w:p w14:paraId="4E8F70BA" w14:textId="77777777" w:rsidR="00D41FD6" w:rsidRDefault="00D41FD6" w:rsidP="003C1850">
      <w:pPr>
        <w:pStyle w:val="normalwithoutspacing"/>
        <w:spacing w:line="360" w:lineRule="auto"/>
      </w:pPr>
    </w:p>
    <w:p w14:paraId="6FE46822" w14:textId="77777777" w:rsidR="00D41FD6" w:rsidRDefault="00D41FD6" w:rsidP="00FD2222">
      <w:pPr>
        <w:pStyle w:val="normalwithoutspacing"/>
        <w:spacing w:line="360" w:lineRule="auto"/>
      </w:pPr>
      <w:r>
        <w:rPr>
          <w:b/>
        </w:rPr>
        <w:t>Χρηματοδότηση της σύμβασης</w:t>
      </w:r>
    </w:p>
    <w:p w14:paraId="287BD504" w14:textId="4453E131" w:rsidR="006C5BC3" w:rsidRDefault="006C5BC3" w:rsidP="00FD2222">
      <w:pPr>
        <w:pStyle w:val="normalwithoutspacing"/>
        <w:spacing w:line="360" w:lineRule="auto"/>
      </w:pPr>
      <w:bookmarkStart w:id="4" w:name="_Toc13748895"/>
      <w:r>
        <w:t xml:space="preserve">Φορέας χρηματοδότησης της παρούσας σύμβασης είναι η ΑΕΔΙΚ. Η δαπάνη για την εν </w:t>
      </w:r>
      <w:r w:rsidR="00547318">
        <w:t xml:space="preserve">λόγω </w:t>
      </w:r>
      <w:r>
        <w:t xml:space="preserve">σύμβαση βαρύνει </w:t>
      </w:r>
      <w:r w:rsidRPr="004A7F3F">
        <w:t xml:space="preserve">την σχετική πίστωση του </w:t>
      </w:r>
      <w:r w:rsidR="00BD765C">
        <w:t>Π</w:t>
      </w:r>
      <w:r w:rsidR="00BD765C" w:rsidRPr="004A7F3F">
        <w:t xml:space="preserve">ροϋπολογισμού </w:t>
      </w:r>
      <w:r w:rsidRPr="004A7F3F">
        <w:t xml:space="preserve">του </w:t>
      </w:r>
      <w:r w:rsidR="00BD765C">
        <w:t>Ο</w:t>
      </w:r>
      <w:r w:rsidR="00BD765C" w:rsidRPr="004A7F3F">
        <w:t xml:space="preserve">ικονομικού </w:t>
      </w:r>
      <w:r w:rsidR="00BD765C">
        <w:t>Έ</w:t>
      </w:r>
      <w:r w:rsidR="00BD765C" w:rsidRPr="004A7F3F">
        <w:t xml:space="preserve">τους </w:t>
      </w:r>
      <w:r w:rsidRPr="00AE4FA9">
        <w:t>20</w:t>
      </w:r>
      <w:r>
        <w:t>20</w:t>
      </w:r>
      <w:r w:rsidRPr="004A7F3F">
        <w:t xml:space="preserve"> της ΑΕΔΙΚ</w:t>
      </w:r>
      <w:r w:rsidR="00BD765C">
        <w:t>.</w:t>
      </w:r>
    </w:p>
    <w:p w14:paraId="31A7CD40" w14:textId="77777777" w:rsidR="000C2FCA" w:rsidRPr="004A7F3F" w:rsidRDefault="000C2FCA" w:rsidP="00FD2222">
      <w:pPr>
        <w:pStyle w:val="normalwithoutspacing"/>
        <w:spacing w:line="360" w:lineRule="auto"/>
      </w:pPr>
    </w:p>
    <w:p w14:paraId="0D79DF14" w14:textId="0A0C07A6" w:rsidR="00D41FD6" w:rsidRPr="006B2C94" w:rsidRDefault="00D41FD6" w:rsidP="001332F3">
      <w:pPr>
        <w:pStyle w:val="Heading2"/>
        <w:spacing w:line="360" w:lineRule="auto"/>
        <w:rPr>
          <w:lang w:val="el-GR"/>
        </w:rPr>
      </w:pPr>
      <w:r>
        <w:rPr>
          <w:rFonts w:ascii="Calibri" w:hAnsi="Calibri"/>
          <w:lang w:val="el-GR"/>
        </w:rPr>
        <w:t>1.3</w:t>
      </w:r>
      <w:r>
        <w:rPr>
          <w:rFonts w:ascii="Calibri" w:hAnsi="Calibri"/>
          <w:lang w:val="el-GR"/>
        </w:rPr>
        <w:tab/>
        <w:t xml:space="preserve">Συνοπτική Περιγραφή </w:t>
      </w:r>
      <w:r w:rsidR="005C519C">
        <w:rPr>
          <w:rFonts w:ascii="Calibri" w:hAnsi="Calibri"/>
          <w:lang w:val="el-GR"/>
        </w:rPr>
        <w:t xml:space="preserve">Φυσικού </w:t>
      </w:r>
      <w:r>
        <w:rPr>
          <w:rFonts w:ascii="Calibri" w:hAnsi="Calibri"/>
          <w:lang w:val="el-GR"/>
        </w:rPr>
        <w:t xml:space="preserve">και </w:t>
      </w:r>
      <w:r w:rsidR="005C519C">
        <w:rPr>
          <w:rFonts w:ascii="Calibri" w:hAnsi="Calibri"/>
          <w:lang w:val="el-GR"/>
        </w:rPr>
        <w:t xml:space="preserve">Οικονομικού Αντικειμένου </w:t>
      </w:r>
      <w:r>
        <w:rPr>
          <w:rFonts w:ascii="Calibri" w:hAnsi="Calibri"/>
          <w:lang w:val="el-GR"/>
        </w:rPr>
        <w:t xml:space="preserve">της </w:t>
      </w:r>
      <w:bookmarkEnd w:id="4"/>
      <w:r w:rsidR="005C519C">
        <w:rPr>
          <w:rFonts w:ascii="Calibri" w:hAnsi="Calibri"/>
          <w:lang w:val="el-GR"/>
        </w:rPr>
        <w:t>Σύμβασης</w:t>
      </w:r>
    </w:p>
    <w:p w14:paraId="176FB90A" w14:textId="77777777" w:rsidR="006C5BC3" w:rsidRDefault="00D41FD6" w:rsidP="00CC1C5C">
      <w:pPr>
        <w:spacing w:line="360" w:lineRule="auto"/>
        <w:rPr>
          <w:lang w:val="el-GR"/>
        </w:rPr>
      </w:pPr>
      <w:r>
        <w:rPr>
          <w:lang w:val="el-GR"/>
        </w:rPr>
        <w:t>Αντικείμενο της σύμβασης είναι</w:t>
      </w:r>
      <w:r w:rsidR="006C5BC3">
        <w:rPr>
          <w:lang w:val="el-GR"/>
        </w:rPr>
        <w:t xml:space="preserve"> η παροχή</w:t>
      </w:r>
      <w:r w:rsidR="00C91DFC">
        <w:rPr>
          <w:lang w:val="el-GR"/>
        </w:rPr>
        <w:t xml:space="preserve"> συμβουλευτικών </w:t>
      </w:r>
      <w:r w:rsidR="006C5BC3">
        <w:rPr>
          <w:lang w:val="el-GR"/>
        </w:rPr>
        <w:t xml:space="preserve">υπηρεσιών ασφάλισης </w:t>
      </w:r>
      <w:r w:rsidR="00C91DFC">
        <w:rPr>
          <w:lang w:val="el-GR"/>
        </w:rPr>
        <w:t xml:space="preserve">για τη διαμόρφωση των όρων ασφαλιστηρίου συμβολαίου </w:t>
      </w:r>
      <w:r w:rsidR="006C5BC3">
        <w:rPr>
          <w:lang w:val="el-GR"/>
        </w:rPr>
        <w:t xml:space="preserve">του </w:t>
      </w:r>
      <w:r w:rsidR="00135FE7">
        <w:rPr>
          <w:lang w:val="el-GR"/>
        </w:rPr>
        <w:t xml:space="preserve">Διαύλου </w:t>
      </w:r>
      <w:r w:rsidR="006C5BC3">
        <w:rPr>
          <w:lang w:val="el-GR"/>
        </w:rPr>
        <w:t xml:space="preserve">της Διώρυγας Κορίνθου </w:t>
      </w:r>
      <w:r w:rsidR="00C91DFC">
        <w:rPr>
          <w:lang w:val="el-GR"/>
        </w:rPr>
        <w:t>για την κάλυψη των κατωτέρω ειδών ασφάλισης</w:t>
      </w:r>
      <w:r w:rsidR="00686D9B">
        <w:rPr>
          <w:lang w:val="el-GR"/>
        </w:rPr>
        <w:t>:</w:t>
      </w:r>
    </w:p>
    <w:p w14:paraId="341A8602" w14:textId="77777777" w:rsidR="006C5BC3" w:rsidRDefault="006C5BC3" w:rsidP="00CC1C5C">
      <w:pPr>
        <w:spacing w:line="360" w:lineRule="auto"/>
        <w:rPr>
          <w:lang w:val="el-GR"/>
        </w:rPr>
      </w:pPr>
      <w:bookmarkStart w:id="5" w:name="_Hlk30615473"/>
      <w:r>
        <w:rPr>
          <w:lang w:val="el-GR"/>
        </w:rPr>
        <w:t>Α) Ασφάλιση γενικής αστικής ευθύνης απορρέουσα από τις ασφαλιστέες δραστηριότητες κατά τη λειτουργία της Διώρυγας Κορίνθου,</w:t>
      </w:r>
      <w:r w:rsidR="00F24994">
        <w:rPr>
          <w:lang w:val="el-GR"/>
        </w:rPr>
        <w:t xml:space="preserve"> με όριο </w:t>
      </w:r>
      <w:r w:rsidR="00135FE7">
        <w:rPr>
          <w:lang w:val="el-GR"/>
        </w:rPr>
        <w:t xml:space="preserve">Δέκα Εκατομμύρια </w:t>
      </w:r>
      <w:r w:rsidR="00F24994">
        <w:rPr>
          <w:lang w:val="el-GR"/>
        </w:rPr>
        <w:t xml:space="preserve">Ευρώ ανά ατύχημα ή συμβάν. </w:t>
      </w:r>
    </w:p>
    <w:p w14:paraId="7893B83D" w14:textId="60F300FF" w:rsidR="00D41FD6" w:rsidRDefault="006C5BC3">
      <w:pPr>
        <w:spacing w:line="360" w:lineRule="auto"/>
        <w:rPr>
          <w:lang w:val="el-GR"/>
        </w:rPr>
      </w:pPr>
      <w:r>
        <w:rPr>
          <w:lang w:val="el-GR"/>
        </w:rPr>
        <w:t xml:space="preserve">Β) </w:t>
      </w:r>
      <w:r w:rsidR="00D41FD6">
        <w:rPr>
          <w:lang w:val="el-GR"/>
        </w:rPr>
        <w:t xml:space="preserve"> </w:t>
      </w:r>
      <w:r>
        <w:rPr>
          <w:lang w:val="el-GR"/>
        </w:rPr>
        <w:t xml:space="preserve">Ασφάλιση κινδύνου κλεισίματος ή και αποκατάστασης λειτουργίας του </w:t>
      </w:r>
      <w:r w:rsidR="00135FE7">
        <w:rPr>
          <w:lang w:val="el-GR"/>
        </w:rPr>
        <w:t>Διαύλου</w:t>
      </w:r>
      <w:r>
        <w:rPr>
          <w:lang w:val="el-GR"/>
        </w:rPr>
        <w:t>, περιλαμβανομένων εργασιών επιδιόρθωσης/</w:t>
      </w:r>
      <w:r w:rsidR="00135FE7">
        <w:rPr>
          <w:lang w:val="el-GR"/>
        </w:rPr>
        <w:t xml:space="preserve">αποκατάστασης </w:t>
      </w:r>
      <w:r>
        <w:rPr>
          <w:lang w:val="el-GR"/>
        </w:rPr>
        <w:t>για οποιαδήποτε αιτία</w:t>
      </w:r>
      <w:r w:rsidR="00F24994">
        <w:rPr>
          <w:lang w:val="el-GR"/>
        </w:rPr>
        <w:t>, περιλαμβανομένου της αιτίας σεισμού,</w:t>
      </w:r>
      <w:r w:rsidR="00F24994" w:rsidRPr="00F24994">
        <w:rPr>
          <w:lang w:val="el-GR"/>
        </w:rPr>
        <w:t xml:space="preserve"> με όριο </w:t>
      </w:r>
      <w:r w:rsidR="00EB6EBC">
        <w:rPr>
          <w:lang w:val="el-GR"/>
        </w:rPr>
        <w:t>Δ</w:t>
      </w:r>
      <w:r w:rsidR="00EB6EBC" w:rsidRPr="00F24994">
        <w:rPr>
          <w:lang w:val="el-GR"/>
        </w:rPr>
        <w:t xml:space="preserve">έκα </w:t>
      </w:r>
      <w:r w:rsidR="00EB6EBC">
        <w:rPr>
          <w:lang w:val="el-GR"/>
        </w:rPr>
        <w:t>Ε</w:t>
      </w:r>
      <w:r w:rsidR="00EB6EBC" w:rsidRPr="00F24994">
        <w:rPr>
          <w:lang w:val="el-GR"/>
        </w:rPr>
        <w:t>κατομμύρι</w:t>
      </w:r>
      <w:r w:rsidR="00EB6EBC">
        <w:rPr>
          <w:lang w:val="el-GR"/>
        </w:rPr>
        <w:t>α</w:t>
      </w:r>
      <w:r w:rsidR="00EB6EBC" w:rsidRPr="00F24994">
        <w:rPr>
          <w:lang w:val="el-GR"/>
        </w:rPr>
        <w:t xml:space="preserve"> </w:t>
      </w:r>
      <w:r w:rsidR="00F24994" w:rsidRPr="00F24994">
        <w:rPr>
          <w:lang w:val="el-GR"/>
        </w:rPr>
        <w:t>Ευρώ ανά ατύχημα ή συμβάν</w:t>
      </w:r>
      <w:r w:rsidR="00F24994">
        <w:rPr>
          <w:lang w:val="el-GR"/>
        </w:rPr>
        <w:t xml:space="preserve">. </w:t>
      </w:r>
    </w:p>
    <w:p w14:paraId="5610013B" w14:textId="657A1B90" w:rsidR="00F24994" w:rsidRDefault="00F24994">
      <w:pPr>
        <w:spacing w:line="360" w:lineRule="auto"/>
        <w:rPr>
          <w:lang w:val="el-GR"/>
        </w:rPr>
      </w:pPr>
      <w:r>
        <w:rPr>
          <w:lang w:val="el-GR"/>
        </w:rPr>
        <w:t xml:space="preserve">Γ) Ασφάλιση κινδύνου διακοπής </w:t>
      </w:r>
      <w:r w:rsidR="001235E1" w:rsidRPr="001235E1">
        <w:rPr>
          <w:lang w:val="el-GR"/>
        </w:rPr>
        <w:t>ή/και παρακώλησης</w:t>
      </w:r>
      <w:r w:rsidR="001235E1" w:rsidRPr="009E639D">
        <w:rPr>
          <w:lang w:val="el-GR"/>
        </w:rPr>
        <w:t xml:space="preserve"> </w:t>
      </w:r>
      <w:r>
        <w:rPr>
          <w:lang w:val="el-GR"/>
        </w:rPr>
        <w:t xml:space="preserve">εμπορικής λειτουργίας του </w:t>
      </w:r>
      <w:r w:rsidR="00135FE7">
        <w:rPr>
          <w:lang w:val="el-GR"/>
        </w:rPr>
        <w:t xml:space="preserve">Διαύλου </w:t>
      </w:r>
      <w:r>
        <w:rPr>
          <w:lang w:val="el-GR"/>
        </w:rPr>
        <w:t>μέχρι 180 ημέρες</w:t>
      </w:r>
      <w:r w:rsidRPr="00F24994">
        <w:rPr>
          <w:lang w:val="el-GR"/>
        </w:rPr>
        <w:t xml:space="preserve"> με όριο </w:t>
      </w:r>
      <w:r w:rsidR="00EB6EBC">
        <w:rPr>
          <w:lang w:val="el-GR"/>
        </w:rPr>
        <w:t>Τέσσερα Ε</w:t>
      </w:r>
      <w:r w:rsidR="00EB6EBC" w:rsidRPr="00F24994">
        <w:rPr>
          <w:lang w:val="el-GR"/>
        </w:rPr>
        <w:t>κατομμύρι</w:t>
      </w:r>
      <w:r w:rsidR="00EB6EBC">
        <w:rPr>
          <w:lang w:val="el-GR"/>
        </w:rPr>
        <w:t>α</w:t>
      </w:r>
      <w:r w:rsidR="00EB6EBC" w:rsidRPr="00F24994">
        <w:rPr>
          <w:lang w:val="el-GR"/>
        </w:rPr>
        <w:t xml:space="preserve"> </w:t>
      </w:r>
      <w:r w:rsidRPr="00F24994">
        <w:rPr>
          <w:lang w:val="el-GR"/>
        </w:rPr>
        <w:t>Ευρώ ανά ατύχημα ή συμβάν.</w:t>
      </w:r>
    </w:p>
    <w:p w14:paraId="3F0C250D" w14:textId="0E90C67C" w:rsidR="000F2586" w:rsidRDefault="003F3FDE">
      <w:pPr>
        <w:pStyle w:val="BodyText2"/>
        <w:tabs>
          <w:tab w:val="left" w:pos="709"/>
          <w:tab w:val="left" w:pos="9356"/>
        </w:tabs>
        <w:spacing w:line="360" w:lineRule="auto"/>
        <w:rPr>
          <w:lang w:val="el-GR"/>
        </w:rPr>
      </w:pPr>
      <w:r>
        <w:rPr>
          <w:lang w:val="el-GR"/>
        </w:rPr>
        <w:t>Δ</w:t>
      </w:r>
      <w:r w:rsidR="00F24994">
        <w:rPr>
          <w:lang w:val="el-GR"/>
        </w:rPr>
        <w:t xml:space="preserve">) Ασφάλιση εγκαταστάσεων και εξοπλισμού </w:t>
      </w:r>
      <w:r w:rsidR="00135FE7">
        <w:rPr>
          <w:lang w:val="el-GR"/>
        </w:rPr>
        <w:t>Διαύλου</w:t>
      </w:r>
      <w:r w:rsidR="00135FE7" w:rsidRPr="00F24994">
        <w:rPr>
          <w:lang w:val="el-GR"/>
        </w:rPr>
        <w:t xml:space="preserve"> </w:t>
      </w:r>
      <w:r w:rsidR="00F24994" w:rsidRPr="00F24994">
        <w:rPr>
          <w:lang w:val="el-GR"/>
        </w:rPr>
        <w:t xml:space="preserve">με όριο </w:t>
      </w:r>
      <w:r w:rsidR="00F24994">
        <w:rPr>
          <w:lang w:val="el-GR"/>
        </w:rPr>
        <w:t xml:space="preserve">ενός </w:t>
      </w:r>
      <w:r w:rsidR="00EB6EBC">
        <w:rPr>
          <w:lang w:val="el-GR"/>
        </w:rPr>
        <w:t>Ε</w:t>
      </w:r>
      <w:r w:rsidR="00F24994" w:rsidRPr="00F24994">
        <w:rPr>
          <w:lang w:val="el-GR"/>
        </w:rPr>
        <w:t>κατομμυρί</w:t>
      </w:r>
      <w:r w:rsidR="00F24994">
        <w:rPr>
          <w:lang w:val="el-GR"/>
        </w:rPr>
        <w:t>ου</w:t>
      </w:r>
      <w:r w:rsidR="00F24994" w:rsidRPr="00F24994">
        <w:rPr>
          <w:lang w:val="el-GR"/>
        </w:rPr>
        <w:t xml:space="preserve"> Ευρώ ανά ατύχημα ή συμβάν</w:t>
      </w:r>
      <w:r w:rsidR="00EB6EBC">
        <w:rPr>
          <w:lang w:val="el-GR"/>
        </w:rPr>
        <w:t>.</w:t>
      </w:r>
    </w:p>
    <w:p w14:paraId="4FF63DC9" w14:textId="77777777" w:rsidR="009F7508" w:rsidRPr="009F7508" w:rsidRDefault="009F7508">
      <w:pPr>
        <w:pStyle w:val="BodyText2"/>
        <w:tabs>
          <w:tab w:val="left" w:pos="709"/>
          <w:tab w:val="left" w:pos="9356"/>
        </w:tabs>
        <w:spacing w:line="360" w:lineRule="auto"/>
        <w:rPr>
          <w:b/>
          <w:szCs w:val="22"/>
          <w:lang w:val="el-GR"/>
        </w:rPr>
      </w:pPr>
      <w:r w:rsidRPr="009F7508">
        <w:rPr>
          <w:szCs w:val="22"/>
          <w:lang w:val="el-GR"/>
        </w:rPr>
        <w:t xml:space="preserve">Οι Συμβουλευτικές Υπηρεσίες στην «Α.Ε.ΔΙ.Κ.» σε θέματα Ασφαλιστικού Ενδιαφέροντος θα περιλαμβάνουν προτάσεις παροχής προπαρασκευαστικών εργασιών για τη σύναψη συμβάσεων ασφάλισης της «Α.Ε.ΔΙ.Κ.» με τρίτους/ασφαλιστικές επιχειρήσεις, τη διαμόρφωση των όρων συμφώνως προς τις διατάξεις του </w:t>
      </w:r>
      <w:r w:rsidR="0065513F">
        <w:rPr>
          <w:szCs w:val="22"/>
          <w:lang w:val="el-GR"/>
        </w:rPr>
        <w:t>Ν</w:t>
      </w:r>
      <w:r w:rsidR="0065513F" w:rsidRPr="009F7508">
        <w:rPr>
          <w:szCs w:val="22"/>
          <w:lang w:val="el-GR"/>
        </w:rPr>
        <w:t>όμου</w:t>
      </w:r>
      <w:r w:rsidRPr="009F7508">
        <w:rPr>
          <w:szCs w:val="22"/>
          <w:lang w:val="el-GR"/>
        </w:rPr>
        <w:t xml:space="preserve">, αλλά και των απαιτήσεων των </w:t>
      </w:r>
      <w:proofErr w:type="spellStart"/>
      <w:r w:rsidRPr="009F7508">
        <w:rPr>
          <w:szCs w:val="22"/>
          <w:lang w:val="el-GR"/>
        </w:rPr>
        <w:t>κατ</w:t>
      </w:r>
      <w:proofErr w:type="spellEnd"/>
      <w:r w:rsidRPr="009F7508">
        <w:rPr>
          <w:szCs w:val="22"/>
          <w:lang w:val="el-GR"/>
        </w:rPr>
        <w:t>΄</w:t>
      </w:r>
      <w:r w:rsidR="000F2586">
        <w:rPr>
          <w:szCs w:val="22"/>
          <w:lang w:val="el-GR"/>
        </w:rPr>
        <w:t xml:space="preserve"> </w:t>
      </w:r>
      <w:r w:rsidRPr="009F7508">
        <w:rPr>
          <w:szCs w:val="22"/>
          <w:lang w:val="el-GR"/>
        </w:rPr>
        <w:t>ιδίαν συμβάσεων, εισήγηση για την σύναψη αυτών και τη συνδρομή προς την Εταιρεία κατά τη διαχείριση και εκτέλεση των εν λόγω Συμβάσεων και σε περίπτωση επελεύσεως των ασφαλιστικών κινδύνων.</w:t>
      </w:r>
    </w:p>
    <w:p w14:paraId="34AD2E99" w14:textId="77777777" w:rsidR="009F7508" w:rsidRPr="00DF5130" w:rsidRDefault="009F7508">
      <w:pPr>
        <w:pStyle w:val="BodyText2"/>
        <w:tabs>
          <w:tab w:val="left" w:pos="8364"/>
          <w:tab w:val="left" w:pos="9356"/>
        </w:tabs>
        <w:spacing w:line="360" w:lineRule="auto"/>
        <w:rPr>
          <w:b/>
          <w:szCs w:val="22"/>
          <w:lang w:val="el-GR"/>
        </w:rPr>
      </w:pPr>
      <w:r w:rsidRPr="00DF5130">
        <w:rPr>
          <w:szCs w:val="22"/>
          <w:lang w:val="el-GR"/>
        </w:rPr>
        <w:t xml:space="preserve">Ενδεικτικώς και όχι </w:t>
      </w:r>
      <w:proofErr w:type="spellStart"/>
      <w:r w:rsidRPr="00DF5130">
        <w:rPr>
          <w:szCs w:val="22"/>
          <w:lang w:val="el-GR"/>
        </w:rPr>
        <w:t>περιοριστικώς</w:t>
      </w:r>
      <w:proofErr w:type="spellEnd"/>
      <w:r w:rsidRPr="00DF5130">
        <w:rPr>
          <w:szCs w:val="22"/>
          <w:lang w:val="el-GR"/>
        </w:rPr>
        <w:t>, ο Ασφαλιστικός Σύμβουλος θα αναλάβει την Ευθύνη, να προβαίνει σε παροχή Συμβουλευτικών Υπηρεσιών Ασφαλιστικού Ενδιαφέροντος στα ακόλουθα θέματα:</w:t>
      </w:r>
    </w:p>
    <w:p w14:paraId="72E1709B" w14:textId="77777777" w:rsidR="009F7508" w:rsidRPr="00DF5130" w:rsidRDefault="009F7508">
      <w:pPr>
        <w:pStyle w:val="BodyText2"/>
        <w:tabs>
          <w:tab w:val="left" w:pos="8364"/>
          <w:tab w:val="left" w:pos="9356"/>
        </w:tabs>
        <w:spacing w:line="360" w:lineRule="auto"/>
        <w:ind w:left="284"/>
        <w:rPr>
          <w:b/>
          <w:szCs w:val="22"/>
          <w:lang w:val="el-GR"/>
        </w:rPr>
      </w:pPr>
      <w:r w:rsidRPr="00DF5130">
        <w:rPr>
          <w:szCs w:val="22"/>
          <w:lang w:val="el-GR"/>
        </w:rPr>
        <w:t xml:space="preserve">1. Ανάλυση των </w:t>
      </w:r>
      <w:r w:rsidR="000F2586" w:rsidRPr="00DF5130">
        <w:rPr>
          <w:szCs w:val="22"/>
          <w:lang w:val="el-GR"/>
        </w:rPr>
        <w:t xml:space="preserve">ανωτέρω </w:t>
      </w:r>
      <w:r w:rsidRPr="00DF5130">
        <w:rPr>
          <w:szCs w:val="22"/>
          <w:lang w:val="el-GR"/>
        </w:rPr>
        <w:t>ασφαλιστικών αναγκών της «Α.Ε.ΔΙ.Κ.»</w:t>
      </w:r>
    </w:p>
    <w:p w14:paraId="4DA9E005" w14:textId="77777777" w:rsidR="009F7508" w:rsidRPr="00DF5130" w:rsidRDefault="00DF5130">
      <w:pPr>
        <w:pStyle w:val="BodyText2"/>
        <w:tabs>
          <w:tab w:val="left" w:pos="8364"/>
          <w:tab w:val="left" w:pos="9356"/>
        </w:tabs>
        <w:spacing w:line="360" w:lineRule="auto"/>
        <w:ind w:left="284"/>
        <w:rPr>
          <w:b/>
          <w:szCs w:val="22"/>
          <w:lang w:val="el-GR"/>
        </w:rPr>
      </w:pPr>
      <w:r w:rsidRPr="00DF5130">
        <w:rPr>
          <w:szCs w:val="22"/>
          <w:lang w:val="el-GR"/>
        </w:rPr>
        <w:t>2</w:t>
      </w:r>
      <w:r w:rsidR="009F7508" w:rsidRPr="00DF5130">
        <w:rPr>
          <w:szCs w:val="22"/>
          <w:lang w:val="el-GR"/>
        </w:rPr>
        <w:t xml:space="preserve">. Προετοιμασία </w:t>
      </w:r>
      <w:r w:rsidR="002A192D">
        <w:rPr>
          <w:szCs w:val="22"/>
          <w:lang w:val="el-GR"/>
        </w:rPr>
        <w:t>Π</w:t>
      </w:r>
      <w:r w:rsidR="002A192D" w:rsidRPr="00DF5130">
        <w:rPr>
          <w:szCs w:val="22"/>
          <w:lang w:val="el-GR"/>
        </w:rPr>
        <w:t xml:space="preserve">ροκηρύξεων </w:t>
      </w:r>
      <w:r w:rsidR="009F7508" w:rsidRPr="00DF5130">
        <w:rPr>
          <w:szCs w:val="22"/>
          <w:lang w:val="el-GR"/>
        </w:rPr>
        <w:t xml:space="preserve">/Τευχών </w:t>
      </w:r>
      <w:r w:rsidR="000F2586" w:rsidRPr="00DF5130">
        <w:rPr>
          <w:szCs w:val="22"/>
          <w:lang w:val="el-GR"/>
        </w:rPr>
        <w:t>για τη σύναψη συμβάσεως ασφάλισης με το ανωτέρω πεδίο καλύψεων</w:t>
      </w:r>
      <w:r w:rsidR="009F7508" w:rsidRPr="00DF5130">
        <w:rPr>
          <w:szCs w:val="22"/>
          <w:lang w:val="el-GR"/>
        </w:rPr>
        <w:t xml:space="preserve">. </w:t>
      </w:r>
    </w:p>
    <w:p w14:paraId="09040772" w14:textId="77777777" w:rsidR="009F7508" w:rsidRPr="00DF5130" w:rsidRDefault="00DF5130">
      <w:pPr>
        <w:pStyle w:val="BodyText2"/>
        <w:tabs>
          <w:tab w:val="left" w:pos="8364"/>
          <w:tab w:val="left" w:pos="9356"/>
        </w:tabs>
        <w:spacing w:line="360" w:lineRule="auto"/>
        <w:ind w:left="284"/>
        <w:rPr>
          <w:b/>
          <w:szCs w:val="22"/>
          <w:lang w:val="el-GR"/>
        </w:rPr>
      </w:pPr>
      <w:r w:rsidRPr="002A192D">
        <w:rPr>
          <w:szCs w:val="22"/>
          <w:lang w:val="el-GR"/>
        </w:rPr>
        <w:t>3</w:t>
      </w:r>
      <w:r w:rsidR="009F7508" w:rsidRPr="00DF5130">
        <w:rPr>
          <w:szCs w:val="22"/>
          <w:lang w:val="el-GR"/>
        </w:rPr>
        <w:t xml:space="preserve">. Παροχή συμβουλευτικών υπηρεσιών κατά τη διενέργεια </w:t>
      </w:r>
      <w:r w:rsidR="000F2586" w:rsidRPr="00DF5130">
        <w:rPr>
          <w:szCs w:val="22"/>
          <w:lang w:val="el-GR"/>
        </w:rPr>
        <w:t xml:space="preserve">της σχετικής διαγωνιστικής διαδικασίας </w:t>
      </w:r>
      <w:r w:rsidR="009F7508" w:rsidRPr="00DF5130">
        <w:rPr>
          <w:szCs w:val="22"/>
          <w:lang w:val="el-GR"/>
        </w:rPr>
        <w:t>και την αξιολόγηση των υποβαλλομένων προσφορών, ως προς τους ασφαλιστικούς όρους συμφώνως προς τους όρους της διακηρύξεως</w:t>
      </w:r>
      <w:r w:rsidR="002A192D">
        <w:rPr>
          <w:szCs w:val="22"/>
          <w:lang w:val="el-GR"/>
        </w:rPr>
        <w:t>.</w:t>
      </w:r>
    </w:p>
    <w:p w14:paraId="7A9E5BE7" w14:textId="77777777" w:rsidR="009F7508" w:rsidRPr="00DF5130" w:rsidRDefault="00DF5130">
      <w:pPr>
        <w:pStyle w:val="BodyText2"/>
        <w:tabs>
          <w:tab w:val="left" w:pos="8364"/>
          <w:tab w:val="left" w:pos="9356"/>
        </w:tabs>
        <w:spacing w:line="360" w:lineRule="auto"/>
        <w:ind w:left="284"/>
        <w:rPr>
          <w:b/>
          <w:szCs w:val="22"/>
          <w:lang w:val="el-GR"/>
        </w:rPr>
      </w:pPr>
      <w:r w:rsidRPr="00DF5130">
        <w:rPr>
          <w:szCs w:val="22"/>
          <w:lang w:val="el-GR"/>
        </w:rPr>
        <w:t>4</w:t>
      </w:r>
      <w:r w:rsidR="009F7508" w:rsidRPr="00DF5130">
        <w:rPr>
          <w:szCs w:val="22"/>
          <w:lang w:val="el-GR"/>
        </w:rPr>
        <w:t>. Υποβολή προτάσεων προς τα αρμόδια, κατά περίπτωση, όργανα της «Α.Ε.ΔΙ.Κ».</w:t>
      </w:r>
    </w:p>
    <w:bookmarkEnd w:id="5"/>
    <w:p w14:paraId="2838B5AA" w14:textId="67AA3FBD" w:rsidR="00D41FD6" w:rsidRPr="00F223F6" w:rsidRDefault="00D41FD6">
      <w:pPr>
        <w:pStyle w:val="BodyText"/>
        <w:spacing w:after="120" w:line="360" w:lineRule="auto"/>
        <w:rPr>
          <w:lang w:val="el-GR"/>
        </w:rPr>
      </w:pPr>
      <w:r>
        <w:rPr>
          <w:lang w:val="el-GR"/>
        </w:rPr>
        <w:t xml:space="preserve">Οι παρεχόμενες υπηρεσίες κατατάσσονται στους ακόλουθους κωδικούς του Κοινού Λεξιλογίου </w:t>
      </w:r>
      <w:r w:rsidR="002A192D">
        <w:rPr>
          <w:lang w:val="el-GR"/>
        </w:rPr>
        <w:t xml:space="preserve">Δημοσίων Συμβάσεων </w:t>
      </w:r>
      <w:r>
        <w:rPr>
          <w:lang w:val="el-GR"/>
        </w:rPr>
        <w:t xml:space="preserve">(CPV): </w:t>
      </w:r>
      <w:r w:rsidR="00196110" w:rsidRPr="00196110">
        <w:rPr>
          <w:lang w:val="el-GR"/>
        </w:rPr>
        <w:t>66519310-7</w:t>
      </w:r>
      <w:r w:rsidR="00196110" w:rsidRPr="00196110">
        <w:rPr>
          <w:lang w:val="el-GR"/>
        </w:rPr>
        <w:tab/>
      </w:r>
      <w:r w:rsidR="00196110">
        <w:rPr>
          <w:lang w:val="el-GR"/>
        </w:rPr>
        <w:t xml:space="preserve">- </w:t>
      </w:r>
      <w:r w:rsidR="00196110" w:rsidRPr="00196110">
        <w:rPr>
          <w:lang w:val="el-GR"/>
        </w:rPr>
        <w:t>Υπηρεσίες παροχής συμβουλών σε θέματα ασφάλισης</w:t>
      </w:r>
      <w:r w:rsidR="00F3071C">
        <w:rPr>
          <w:lang w:val="el-GR"/>
        </w:rPr>
        <w:t>.</w:t>
      </w:r>
    </w:p>
    <w:p w14:paraId="229E0144" w14:textId="77777777" w:rsidR="00D41FD6" w:rsidRDefault="00D41FD6">
      <w:pPr>
        <w:pStyle w:val="normalwithoutspacing"/>
        <w:spacing w:line="360" w:lineRule="auto"/>
      </w:pPr>
      <w:r w:rsidRPr="007E6E4F">
        <w:lastRenderedPageBreak/>
        <w:t xml:space="preserve">Η εκτιμώμενη αξία της σύμβασης ανέρχεται στο ποσό των </w:t>
      </w:r>
      <w:r w:rsidR="00C87552" w:rsidRPr="007E6E4F">
        <w:t>€ 9.300,00</w:t>
      </w:r>
      <w:r w:rsidRPr="007E6E4F">
        <w:t xml:space="preserve"> συμπεριλαμβανομένου ΦΠΑ </w:t>
      </w:r>
      <w:r w:rsidR="00C87552" w:rsidRPr="007E6E4F">
        <w:t xml:space="preserve">24 </w:t>
      </w:r>
      <w:r w:rsidRPr="007E6E4F">
        <w:t xml:space="preserve">% (προϋπολογισμός χωρίς ΦΠΑ: € </w:t>
      </w:r>
      <w:r w:rsidR="00C87552" w:rsidRPr="007E6E4F">
        <w:t xml:space="preserve">7.500,00 </w:t>
      </w:r>
      <w:r w:rsidRPr="007E6E4F">
        <w:t xml:space="preserve">ΦΠΑ : </w:t>
      </w:r>
      <w:r w:rsidR="00C87552" w:rsidRPr="007E6E4F">
        <w:t>€ 1.800,00).</w:t>
      </w:r>
    </w:p>
    <w:p w14:paraId="22A3649F" w14:textId="77777777" w:rsidR="00D41FD6" w:rsidRPr="006B2C94" w:rsidRDefault="00D41FD6" w:rsidP="00945EB4">
      <w:pPr>
        <w:spacing w:line="360" w:lineRule="auto"/>
        <w:rPr>
          <w:lang w:val="el-GR"/>
        </w:rPr>
      </w:pPr>
      <w:r>
        <w:rPr>
          <w:lang w:val="el-GR"/>
        </w:rPr>
        <w:t xml:space="preserve">Η διάρκεια της σύμβασης </w:t>
      </w:r>
      <w:r w:rsidR="00221278">
        <w:rPr>
          <w:lang w:val="el-GR"/>
        </w:rPr>
        <w:t xml:space="preserve">ορίζεται </w:t>
      </w:r>
      <w:r>
        <w:rPr>
          <w:lang w:val="el-GR"/>
        </w:rPr>
        <w:t xml:space="preserve">σε </w:t>
      </w:r>
      <w:r w:rsidR="00F24994">
        <w:rPr>
          <w:lang w:val="el-GR"/>
        </w:rPr>
        <w:t xml:space="preserve">δώδεκα (12) </w:t>
      </w:r>
      <w:r>
        <w:rPr>
          <w:lang w:val="el-GR"/>
        </w:rPr>
        <w:t>μήνες</w:t>
      </w:r>
      <w:r w:rsidR="00F24994">
        <w:rPr>
          <w:lang w:val="el-GR"/>
        </w:rPr>
        <w:t>.</w:t>
      </w:r>
    </w:p>
    <w:p w14:paraId="7157F635" w14:textId="77777777" w:rsidR="00D41FD6" w:rsidRPr="00F223F6" w:rsidRDefault="00D41FD6" w:rsidP="003C1850">
      <w:pPr>
        <w:pStyle w:val="normalwithoutspacing"/>
        <w:spacing w:line="360" w:lineRule="auto"/>
      </w:pPr>
      <w:r>
        <w:t>Η σύμβαση θα ανατεθεί με το κριτήριο της πλέον συμφέρουσας από οικονομική άποψη προσφοράς, βάσει</w:t>
      </w:r>
      <w:r w:rsidR="00F223F6" w:rsidRPr="00F223F6">
        <w:t xml:space="preserve"> </w:t>
      </w:r>
      <w:r w:rsidR="00F223F6">
        <w:t>τιμής μόνο.</w:t>
      </w:r>
    </w:p>
    <w:p w14:paraId="568D5646" w14:textId="77777777" w:rsidR="00D41FD6" w:rsidRPr="006B2C94" w:rsidRDefault="00D41FD6" w:rsidP="003C1850">
      <w:pPr>
        <w:pStyle w:val="Heading2"/>
        <w:spacing w:line="360" w:lineRule="auto"/>
        <w:rPr>
          <w:lang w:val="el-GR"/>
        </w:rPr>
      </w:pPr>
      <w:bookmarkStart w:id="6" w:name="_Toc13748896"/>
      <w:r>
        <w:rPr>
          <w:rFonts w:ascii="Calibri" w:hAnsi="Calibri"/>
          <w:lang w:val="el-GR"/>
        </w:rPr>
        <w:t>1.4</w:t>
      </w:r>
      <w:r>
        <w:rPr>
          <w:rFonts w:ascii="Calibri" w:hAnsi="Calibri"/>
          <w:lang w:val="el-GR"/>
        </w:rPr>
        <w:tab/>
        <w:t xml:space="preserve">Θεσμικό </w:t>
      </w:r>
      <w:bookmarkEnd w:id="6"/>
      <w:r w:rsidR="00221278">
        <w:rPr>
          <w:rFonts w:ascii="Calibri" w:hAnsi="Calibri"/>
          <w:lang w:val="el-GR"/>
        </w:rPr>
        <w:t>Πλαίσιο</w:t>
      </w:r>
    </w:p>
    <w:p w14:paraId="0733A190" w14:textId="77777777" w:rsidR="00D41FD6" w:rsidRPr="006B2C94" w:rsidRDefault="00F42411" w:rsidP="00DD3484">
      <w:pPr>
        <w:spacing w:line="360" w:lineRule="auto"/>
        <w:rPr>
          <w:lang w:val="el-GR"/>
        </w:rPr>
      </w:pPr>
      <w:r>
        <w:rPr>
          <w:lang w:val="el-GR"/>
        </w:rPr>
        <w:t xml:space="preserve">1. </w:t>
      </w:r>
      <w:r w:rsidR="00D41FD6">
        <w:rPr>
          <w:lang w:val="el-GR"/>
        </w:rPr>
        <w:t xml:space="preserve">Η ανάθεση και εκτέλεση της σύμβασης </w:t>
      </w:r>
      <w:proofErr w:type="spellStart"/>
      <w:r w:rsidR="00B2598D">
        <w:rPr>
          <w:lang w:val="el-GR"/>
        </w:rPr>
        <w:t>διέπονται</w:t>
      </w:r>
      <w:proofErr w:type="spellEnd"/>
      <w:r w:rsidR="00B2598D">
        <w:rPr>
          <w:lang w:val="el-GR"/>
        </w:rPr>
        <w:t xml:space="preserve"> </w:t>
      </w:r>
      <w:r w:rsidR="00D41FD6">
        <w:rPr>
          <w:lang w:val="el-GR"/>
        </w:rPr>
        <w:t xml:space="preserve">από την κείμενη νομοθεσία και τις </w:t>
      </w:r>
      <w:proofErr w:type="spellStart"/>
      <w:r w:rsidR="00D41FD6">
        <w:rPr>
          <w:lang w:val="el-GR"/>
        </w:rPr>
        <w:t>κατ</w:t>
      </w:r>
      <w:proofErr w:type="spellEnd"/>
      <w:r w:rsidR="00D41FD6">
        <w:rPr>
          <w:lang w:val="el-GR"/>
        </w:rPr>
        <w:t xml:space="preserve">΄ εξουσιοδότηση αυτής </w:t>
      </w:r>
      <w:proofErr w:type="spellStart"/>
      <w:r w:rsidR="00D41FD6">
        <w:rPr>
          <w:lang w:val="el-GR"/>
        </w:rPr>
        <w:t>εκδοθείσες</w:t>
      </w:r>
      <w:proofErr w:type="spellEnd"/>
      <w:r w:rsidR="00D41FD6">
        <w:rPr>
          <w:lang w:val="el-GR"/>
        </w:rPr>
        <w:t xml:space="preserve"> κανονιστικές πράξεις, όπως ισχύουν και ιδίως:</w:t>
      </w:r>
    </w:p>
    <w:p w14:paraId="62C9B487"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4412/2016 (Α' 147) “</w:t>
      </w:r>
      <w:r>
        <w:rPr>
          <w:i/>
          <w:lang w:val="el-GR"/>
        </w:rPr>
        <w:t>Δημόσιες Συμβάσεις Έργων, Προμηθειών και Υπηρεσιών (προσαρμογή στις Οδηγίες 2014/24/ ΕΕ και 2014/25/ΕΕ)»</w:t>
      </w:r>
    </w:p>
    <w:p w14:paraId="6F1F871E"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278F6F34"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14:paraId="44A9E78C" w14:textId="77777777" w:rsidR="00D41FD6" w:rsidRPr="006B2C94" w:rsidRDefault="00D41FD6" w:rsidP="00DD3484">
      <w:pPr>
        <w:numPr>
          <w:ilvl w:val="0"/>
          <w:numId w:val="9"/>
        </w:numPr>
        <w:spacing w:line="360" w:lineRule="auto"/>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4524AE8A" w14:textId="77777777" w:rsidR="00D41FD6" w:rsidRPr="006B2C94" w:rsidRDefault="00D41FD6" w:rsidP="00DD3484">
      <w:pPr>
        <w:numPr>
          <w:ilvl w:val="0"/>
          <w:numId w:val="9"/>
        </w:numPr>
        <w:spacing w:line="360" w:lineRule="auto"/>
        <w:ind w:left="284" w:hanging="284"/>
        <w:rPr>
          <w:lang w:val="el-GR"/>
        </w:rPr>
      </w:pPr>
      <w:r>
        <w:rPr>
          <w:szCs w:val="22"/>
          <w:lang w:val="el-GR"/>
        </w:rPr>
        <w:t xml:space="preserve">του </w:t>
      </w:r>
      <w:r w:rsidR="004F58AC">
        <w:rPr>
          <w:szCs w:val="22"/>
          <w:lang w:val="el-GR"/>
        </w:rPr>
        <w:t>Ν</w:t>
      </w:r>
      <w:r>
        <w:rPr>
          <w:szCs w:val="22"/>
          <w:lang w:val="el-GR"/>
        </w:rPr>
        <w:t>.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2B48C551" w14:textId="77777777" w:rsidR="00D41FD6" w:rsidRPr="006B2C94" w:rsidRDefault="00D41FD6" w:rsidP="00DD3484">
      <w:pPr>
        <w:numPr>
          <w:ilvl w:val="0"/>
          <w:numId w:val="9"/>
        </w:numPr>
        <w:spacing w:line="360" w:lineRule="auto"/>
        <w:ind w:left="284" w:hanging="284"/>
        <w:rPr>
          <w:lang w:val="el-GR"/>
        </w:rPr>
      </w:pPr>
      <w:r>
        <w:rPr>
          <w:szCs w:val="22"/>
          <w:lang w:val="el-GR"/>
        </w:rPr>
        <w:t xml:space="preserve">του </w:t>
      </w:r>
      <w:r w:rsidR="004F58AC">
        <w:rPr>
          <w:szCs w:val="22"/>
          <w:lang w:val="el-GR"/>
        </w:rPr>
        <w:t>Ν</w:t>
      </w:r>
      <w:r>
        <w:rPr>
          <w:szCs w:val="22"/>
          <w:lang w:val="el-GR"/>
        </w:rPr>
        <w:t>.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21C67E75"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56EE13A9"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2859/2000 (Α’ 248) «</w:t>
      </w:r>
      <w:r>
        <w:rPr>
          <w:i/>
          <w:lang w:val="el-GR"/>
        </w:rPr>
        <w:t>Κύρωση Κώδικα Φόρου Προστιθέμενης Αξίας</w:t>
      </w:r>
      <w:r>
        <w:rPr>
          <w:lang w:val="el-GR"/>
        </w:rPr>
        <w:t xml:space="preserve">», </w:t>
      </w:r>
    </w:p>
    <w:p w14:paraId="06752D57"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58590825" w14:textId="77777777" w:rsidR="00D41FD6" w:rsidRPr="006B2C94" w:rsidRDefault="00D41FD6" w:rsidP="00DD3484">
      <w:pPr>
        <w:numPr>
          <w:ilvl w:val="0"/>
          <w:numId w:val="9"/>
        </w:numPr>
        <w:spacing w:line="360" w:lineRule="auto"/>
        <w:ind w:left="284" w:hanging="284"/>
        <w:rPr>
          <w:lang w:val="el-GR"/>
        </w:rPr>
      </w:pPr>
      <w:r>
        <w:rPr>
          <w:lang w:val="el-GR"/>
        </w:rPr>
        <w:t xml:space="preserve">του </w:t>
      </w:r>
      <w:r w:rsidR="004F58AC">
        <w:rPr>
          <w:lang w:val="el-GR"/>
        </w:rPr>
        <w:t>Ν</w:t>
      </w:r>
      <w:r>
        <w:rPr>
          <w:lang w:val="el-GR"/>
        </w:rPr>
        <w:t>. 2121/1993 (Α' 25) “</w:t>
      </w:r>
      <w:r>
        <w:rPr>
          <w:rStyle w:val="Strong"/>
          <w:b w:val="0"/>
          <w:bCs w:val="0"/>
          <w:i/>
          <w:iCs/>
          <w:color w:val="000000"/>
          <w:szCs w:val="22"/>
          <w:lang w:val="el-GR"/>
        </w:rPr>
        <w:t>Πνευματική Ιδιοκτησία, Συγγενικά Δικαιώματα και Πολιτιστικά Θέματα</w:t>
      </w:r>
      <w:r>
        <w:rPr>
          <w:rStyle w:val="Strong"/>
          <w:b w:val="0"/>
          <w:bCs w:val="0"/>
          <w:color w:val="000000"/>
          <w:szCs w:val="22"/>
          <w:lang w:val="el-GR"/>
        </w:rPr>
        <w:t xml:space="preserve">”, </w:t>
      </w:r>
    </w:p>
    <w:p w14:paraId="6A9A4D5A" w14:textId="77777777" w:rsidR="00D41FD6" w:rsidRPr="006B2C94" w:rsidRDefault="00D41FD6" w:rsidP="00FD02C6">
      <w:pPr>
        <w:numPr>
          <w:ilvl w:val="0"/>
          <w:numId w:val="9"/>
        </w:numPr>
        <w:spacing w:line="360" w:lineRule="auto"/>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3C9674B3" w14:textId="77777777" w:rsidR="00D41FD6" w:rsidRPr="00852BE0" w:rsidRDefault="00D41FD6" w:rsidP="00B81A84">
      <w:pPr>
        <w:numPr>
          <w:ilvl w:val="0"/>
          <w:numId w:val="9"/>
        </w:numPr>
        <w:spacing w:line="360" w:lineRule="auto"/>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7307CC4B" w14:textId="77777777" w:rsidR="00852BE0" w:rsidRPr="006B2C94" w:rsidRDefault="00852BE0" w:rsidP="00B81A84">
      <w:pPr>
        <w:numPr>
          <w:ilvl w:val="0"/>
          <w:numId w:val="9"/>
        </w:numPr>
        <w:spacing w:line="360" w:lineRule="auto"/>
        <w:ind w:left="284" w:hanging="284"/>
        <w:rPr>
          <w:lang w:val="el-GR"/>
        </w:rPr>
      </w:pPr>
      <w:r>
        <w:rPr>
          <w:bCs/>
          <w:iCs/>
          <w:lang w:val="el-GR"/>
        </w:rPr>
        <w:lastRenderedPageBreak/>
        <w:t xml:space="preserve">του </w:t>
      </w:r>
      <w:proofErr w:type="spellStart"/>
      <w:r>
        <w:rPr>
          <w:bCs/>
          <w:iCs/>
          <w:lang w:val="el-GR"/>
        </w:rPr>
        <w:t>π.δ.</w:t>
      </w:r>
      <w:proofErr w:type="spellEnd"/>
      <w:r>
        <w:rPr>
          <w:bCs/>
          <w:iCs/>
          <w:lang w:val="el-GR"/>
        </w:rPr>
        <w:t xml:space="preserve"> 39/2017 (</w:t>
      </w:r>
      <w:r w:rsidR="001E63C2">
        <w:rPr>
          <w:bCs/>
          <w:iCs/>
          <w:lang w:val="el-GR"/>
        </w:rPr>
        <w:t>Α΄64) «Κανονισμός εξέτασης προδικαστικών προσφυγών ενώπιων της Α.Ε.Π.Π.»</w:t>
      </w:r>
    </w:p>
    <w:p w14:paraId="0D354E36" w14:textId="77777777" w:rsidR="00D41FD6" w:rsidRPr="006B2C94" w:rsidRDefault="00D41FD6" w:rsidP="003C1850">
      <w:pPr>
        <w:numPr>
          <w:ilvl w:val="0"/>
          <w:numId w:val="9"/>
        </w:numPr>
        <w:spacing w:line="360" w:lineRule="auto"/>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510635EC" w14:textId="77777777" w:rsidR="00D41FD6" w:rsidRPr="00DD3484" w:rsidRDefault="00D41FD6" w:rsidP="00DD3484">
      <w:pPr>
        <w:numPr>
          <w:ilvl w:val="0"/>
          <w:numId w:val="9"/>
        </w:numPr>
        <w:spacing w:line="360" w:lineRule="auto"/>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64F836F" w14:textId="77777777" w:rsidR="00DD3484" w:rsidRPr="006B2C94" w:rsidRDefault="00DD3484" w:rsidP="00DD3484">
      <w:pPr>
        <w:spacing w:line="360" w:lineRule="auto"/>
        <w:rPr>
          <w:lang w:val="el-GR"/>
        </w:rPr>
      </w:pPr>
    </w:p>
    <w:p w14:paraId="63723E52" w14:textId="77777777" w:rsidR="00F42411" w:rsidRPr="00EF2E99" w:rsidRDefault="00F42411" w:rsidP="00DD3484">
      <w:pPr>
        <w:numPr>
          <w:ilvl w:val="0"/>
          <w:numId w:val="13"/>
        </w:numPr>
        <w:suppressAutoHyphens w:val="0"/>
        <w:spacing w:after="0" w:line="360" w:lineRule="auto"/>
        <w:jc w:val="left"/>
        <w:rPr>
          <w:szCs w:val="22"/>
          <w:lang w:val="el-GR" w:eastAsia="el-GR"/>
        </w:rPr>
      </w:pPr>
      <w:bookmarkStart w:id="7" w:name="_Toc13748897"/>
      <w:r w:rsidRPr="00EF2E99">
        <w:rPr>
          <w:szCs w:val="22"/>
          <w:lang w:val="el-GR" w:eastAsia="el-GR"/>
        </w:rPr>
        <w:t>Τις αποφάσεις:</w:t>
      </w:r>
    </w:p>
    <w:p w14:paraId="30CDB984" w14:textId="77777777" w:rsidR="00F42411" w:rsidRPr="00EF2E99" w:rsidRDefault="00F42411" w:rsidP="00FD02C6">
      <w:pPr>
        <w:suppressAutoHyphens w:val="0"/>
        <w:spacing w:after="0" w:line="360" w:lineRule="auto"/>
        <w:rPr>
          <w:szCs w:val="22"/>
          <w:lang w:val="el-GR" w:eastAsia="el-GR"/>
        </w:rPr>
      </w:pPr>
    </w:p>
    <w:p w14:paraId="424D512B" w14:textId="74E777A0" w:rsidR="00D31A99" w:rsidRDefault="006753B5" w:rsidP="006753B5">
      <w:pPr>
        <w:numPr>
          <w:ilvl w:val="1"/>
          <w:numId w:val="12"/>
        </w:numPr>
        <w:suppressAutoHyphens w:val="0"/>
        <w:spacing w:after="0" w:line="360" w:lineRule="auto"/>
        <w:rPr>
          <w:szCs w:val="22"/>
          <w:lang w:val="el-GR" w:eastAsia="el-GR"/>
        </w:rPr>
      </w:pPr>
      <w:r w:rsidRPr="006753B5">
        <w:rPr>
          <w:szCs w:val="22"/>
          <w:lang w:val="el-GR" w:eastAsia="el-GR"/>
        </w:rPr>
        <w:t xml:space="preserve">Την με </w:t>
      </w:r>
      <w:r>
        <w:rPr>
          <w:szCs w:val="22"/>
          <w:lang w:val="el-GR" w:eastAsia="el-GR"/>
        </w:rPr>
        <w:t>Α</w:t>
      </w:r>
      <w:r w:rsidRPr="006753B5">
        <w:rPr>
          <w:szCs w:val="22"/>
          <w:lang w:val="el-GR" w:eastAsia="el-GR"/>
        </w:rPr>
        <w:t xml:space="preserve">ριθμό </w:t>
      </w:r>
      <w:proofErr w:type="spellStart"/>
      <w:r>
        <w:rPr>
          <w:szCs w:val="22"/>
          <w:lang w:val="el-GR" w:eastAsia="el-GR"/>
        </w:rPr>
        <w:t>Π</w:t>
      </w:r>
      <w:r w:rsidRPr="006753B5">
        <w:rPr>
          <w:szCs w:val="22"/>
          <w:lang w:val="el-GR" w:eastAsia="el-GR"/>
        </w:rPr>
        <w:t>ρωτ</w:t>
      </w:r>
      <w:proofErr w:type="spellEnd"/>
      <w:r w:rsidR="00295C48" w:rsidRPr="006C5DE2">
        <w:rPr>
          <w:szCs w:val="22"/>
          <w:lang w:val="el-GR" w:eastAsia="el-GR"/>
        </w:rPr>
        <w:t>.</w:t>
      </w:r>
      <w:r w:rsidRPr="006753B5">
        <w:rPr>
          <w:szCs w:val="22"/>
          <w:lang w:val="el-GR" w:eastAsia="el-GR"/>
        </w:rPr>
        <w:t xml:space="preserve"> 23/21-01-20 Απόφαση του Διοικητικού Συμβουλίου της ΑΕΔΙΚ για σύσταση «Επιτροπής Παρακολούθησης, Ελέγχου και Παραλαβής» (Απόσπασμα Πρακτικών Συνεδρίας </w:t>
      </w:r>
      <w:proofErr w:type="spellStart"/>
      <w:r w:rsidRPr="006753B5">
        <w:rPr>
          <w:szCs w:val="22"/>
          <w:lang w:val="el-GR" w:eastAsia="el-GR"/>
        </w:rPr>
        <w:t>Νο</w:t>
      </w:r>
      <w:proofErr w:type="spellEnd"/>
      <w:r w:rsidRPr="006753B5">
        <w:rPr>
          <w:szCs w:val="22"/>
          <w:lang w:val="el-GR" w:eastAsia="el-GR"/>
        </w:rPr>
        <w:t xml:space="preserve"> 534 της 12ης Δεκεμβρίου 2019, ΑΔΑ 99ΣΓ469Η1Η-Α7Ψ).</w:t>
      </w:r>
    </w:p>
    <w:p w14:paraId="0D9CBEBC" w14:textId="6EE538C5" w:rsidR="00FD02C6" w:rsidRPr="00FD02C6" w:rsidRDefault="00FD02C6" w:rsidP="00FD02C6">
      <w:pPr>
        <w:numPr>
          <w:ilvl w:val="1"/>
          <w:numId w:val="12"/>
        </w:numPr>
        <w:suppressAutoHyphens w:val="0"/>
        <w:spacing w:after="0" w:line="360" w:lineRule="auto"/>
        <w:ind w:right="83"/>
        <w:rPr>
          <w:szCs w:val="22"/>
          <w:lang w:val="el-GR" w:eastAsia="el-GR"/>
        </w:rPr>
      </w:pPr>
      <w:r w:rsidRPr="00FD02C6">
        <w:rPr>
          <w:rFonts w:ascii="Verdana" w:hAnsi="Verdana"/>
          <w:sz w:val="20"/>
          <w:szCs w:val="20"/>
          <w:lang w:val="el-GR"/>
        </w:rPr>
        <w:t xml:space="preserve">Την με </w:t>
      </w:r>
      <w:r w:rsidR="00295C48" w:rsidRPr="00295C48">
        <w:rPr>
          <w:rFonts w:ascii="Verdana" w:hAnsi="Verdana"/>
          <w:sz w:val="20"/>
          <w:szCs w:val="20"/>
          <w:lang w:val="el-GR"/>
        </w:rPr>
        <w:t xml:space="preserve">Αριθμό </w:t>
      </w:r>
      <w:proofErr w:type="spellStart"/>
      <w:r w:rsidR="00295C48" w:rsidRPr="00295C48">
        <w:rPr>
          <w:rFonts w:ascii="Verdana" w:hAnsi="Verdana"/>
          <w:sz w:val="20"/>
          <w:szCs w:val="20"/>
          <w:lang w:val="el-GR"/>
        </w:rPr>
        <w:t>Πρωτ</w:t>
      </w:r>
      <w:proofErr w:type="spellEnd"/>
      <w:r w:rsidR="00295C48" w:rsidRPr="006C5DE2">
        <w:rPr>
          <w:rFonts w:ascii="Verdana" w:hAnsi="Verdana"/>
          <w:sz w:val="20"/>
          <w:szCs w:val="20"/>
          <w:lang w:val="el-GR"/>
        </w:rPr>
        <w:t>.</w:t>
      </w:r>
      <w:r w:rsidR="00295C48" w:rsidRPr="00295C48">
        <w:rPr>
          <w:rFonts w:ascii="Verdana" w:hAnsi="Verdana"/>
          <w:sz w:val="20"/>
          <w:szCs w:val="20"/>
          <w:lang w:val="el-GR"/>
        </w:rPr>
        <w:t xml:space="preserve"> </w:t>
      </w:r>
      <w:r w:rsidRPr="00FD02C6">
        <w:rPr>
          <w:rFonts w:ascii="Verdana" w:hAnsi="Verdana"/>
          <w:sz w:val="20"/>
          <w:szCs w:val="20"/>
          <w:lang w:val="el-GR"/>
        </w:rPr>
        <w:t xml:space="preserve">23/21-01-20 Απόφαση του Διοικητικού Συμβουλίου της ΑΕΔΙΚ για σύσταση «Επιτροπή Ενστάσεων &amp; Προσφυγών» (Απόσπασμα Πρακτικών Συνεδρίας </w:t>
      </w:r>
      <w:proofErr w:type="spellStart"/>
      <w:r w:rsidRPr="00FD02C6">
        <w:rPr>
          <w:rFonts w:ascii="Verdana" w:hAnsi="Verdana"/>
          <w:sz w:val="20"/>
          <w:szCs w:val="20"/>
          <w:lang w:val="el-GR"/>
        </w:rPr>
        <w:t>Νο</w:t>
      </w:r>
      <w:proofErr w:type="spellEnd"/>
      <w:r w:rsidRPr="00FD02C6">
        <w:rPr>
          <w:rFonts w:ascii="Verdana" w:hAnsi="Verdana"/>
          <w:sz w:val="20"/>
          <w:szCs w:val="20"/>
          <w:lang w:val="el-GR"/>
        </w:rPr>
        <w:t xml:space="preserve"> 534 της 12ης Δεκεμβρίου 2019, ΑΔΑ 99ΣΓ469Η1Η-Α7Ψ).</w:t>
      </w:r>
    </w:p>
    <w:p w14:paraId="3571A339" w14:textId="77777777" w:rsidR="00F42411" w:rsidRPr="00EF2E99" w:rsidRDefault="00F42411" w:rsidP="003870F9">
      <w:pPr>
        <w:tabs>
          <w:tab w:val="num" w:pos="900"/>
        </w:tabs>
        <w:suppressAutoHyphens w:val="0"/>
        <w:spacing w:after="0" w:line="360" w:lineRule="auto"/>
        <w:rPr>
          <w:szCs w:val="22"/>
          <w:lang w:val="el-GR" w:eastAsia="el-GR"/>
        </w:rPr>
      </w:pPr>
    </w:p>
    <w:p w14:paraId="638F89B6" w14:textId="77777777" w:rsidR="00F42411" w:rsidRPr="00EF2E99" w:rsidRDefault="00F42411" w:rsidP="00B81A84">
      <w:pPr>
        <w:numPr>
          <w:ilvl w:val="0"/>
          <w:numId w:val="13"/>
        </w:numPr>
        <w:tabs>
          <w:tab w:val="num" w:pos="900"/>
        </w:tabs>
        <w:suppressAutoHyphens w:val="0"/>
        <w:spacing w:after="0" w:line="360" w:lineRule="auto"/>
        <w:jc w:val="left"/>
        <w:rPr>
          <w:szCs w:val="22"/>
          <w:lang w:val="el-GR" w:eastAsia="el-GR"/>
        </w:rPr>
      </w:pPr>
      <w:r w:rsidRPr="00EF2E99">
        <w:rPr>
          <w:szCs w:val="22"/>
          <w:lang w:val="el-GR" w:eastAsia="el-GR"/>
        </w:rPr>
        <w:t>Τα έγγραφα:</w:t>
      </w:r>
    </w:p>
    <w:p w14:paraId="14A2FA50" w14:textId="77777777" w:rsidR="00F42411" w:rsidRPr="00EF2E99" w:rsidRDefault="00F42411" w:rsidP="00B81A84">
      <w:pPr>
        <w:tabs>
          <w:tab w:val="num" w:pos="900"/>
        </w:tabs>
        <w:suppressAutoHyphens w:val="0"/>
        <w:spacing w:after="0" w:line="360" w:lineRule="auto"/>
        <w:rPr>
          <w:szCs w:val="22"/>
          <w:lang w:val="el-GR" w:eastAsia="el-GR"/>
        </w:rPr>
      </w:pPr>
    </w:p>
    <w:p w14:paraId="4B6997D1" w14:textId="447B4F70" w:rsidR="00F42411" w:rsidRPr="00EF2E99" w:rsidRDefault="0018147D" w:rsidP="00945C9E">
      <w:pPr>
        <w:numPr>
          <w:ilvl w:val="1"/>
          <w:numId w:val="13"/>
        </w:numPr>
        <w:tabs>
          <w:tab w:val="num" w:pos="900"/>
        </w:tabs>
        <w:suppressAutoHyphens w:val="0"/>
        <w:spacing w:after="0" w:line="360" w:lineRule="auto"/>
        <w:rPr>
          <w:szCs w:val="22"/>
          <w:lang w:val="el-GR" w:eastAsia="el-GR"/>
        </w:rPr>
      </w:pPr>
      <w:r>
        <w:rPr>
          <w:szCs w:val="22"/>
          <w:lang w:val="el-GR" w:eastAsia="el-GR"/>
        </w:rPr>
        <w:t>Το μ</w:t>
      </w:r>
      <w:r w:rsidR="00F42411" w:rsidRPr="00EF2E99">
        <w:rPr>
          <w:szCs w:val="22"/>
          <w:lang w:val="el-GR" w:eastAsia="el-GR"/>
        </w:rPr>
        <w:t xml:space="preserve">ε </w:t>
      </w:r>
      <w:proofErr w:type="spellStart"/>
      <w:r w:rsidR="00945C9E">
        <w:rPr>
          <w:szCs w:val="22"/>
          <w:lang w:val="el-GR" w:eastAsia="el-GR"/>
        </w:rPr>
        <w:t>Α</w:t>
      </w:r>
      <w:r w:rsidR="00945C9E" w:rsidRPr="00EF2E99">
        <w:rPr>
          <w:szCs w:val="22"/>
          <w:lang w:val="el-GR" w:eastAsia="el-GR"/>
        </w:rPr>
        <w:t>ρ</w:t>
      </w:r>
      <w:proofErr w:type="spellEnd"/>
      <w:r w:rsidR="00F42411" w:rsidRPr="00EF2E99">
        <w:rPr>
          <w:szCs w:val="22"/>
          <w:lang w:val="el-GR" w:eastAsia="el-GR"/>
        </w:rPr>
        <w:t xml:space="preserve">. </w:t>
      </w:r>
      <w:proofErr w:type="spellStart"/>
      <w:r w:rsidR="00945C9E">
        <w:rPr>
          <w:szCs w:val="22"/>
          <w:lang w:val="el-GR" w:eastAsia="el-GR"/>
        </w:rPr>
        <w:t>Π</w:t>
      </w:r>
      <w:r w:rsidR="00945C9E" w:rsidRPr="00EF2E99">
        <w:rPr>
          <w:szCs w:val="22"/>
          <w:lang w:val="el-GR" w:eastAsia="el-GR"/>
        </w:rPr>
        <w:t>ρωτ</w:t>
      </w:r>
      <w:proofErr w:type="spellEnd"/>
      <w:r w:rsidR="00945C9E">
        <w:rPr>
          <w:szCs w:val="22"/>
          <w:lang w:val="el-GR" w:eastAsia="el-GR"/>
        </w:rPr>
        <w:t xml:space="preserve">. </w:t>
      </w:r>
      <w:r w:rsidRPr="006C5DE2">
        <w:rPr>
          <w:szCs w:val="22"/>
          <w:lang w:val="el-GR" w:eastAsia="el-GR"/>
        </w:rPr>
        <w:t xml:space="preserve">572 </w:t>
      </w:r>
      <w:r>
        <w:rPr>
          <w:szCs w:val="22"/>
          <w:lang w:val="el-GR" w:eastAsia="el-GR"/>
        </w:rPr>
        <w:t xml:space="preserve">ΕΞ./27-04-20 </w:t>
      </w:r>
      <w:r w:rsidR="00F42411" w:rsidRPr="00EF2E99">
        <w:rPr>
          <w:szCs w:val="22"/>
          <w:lang w:val="el-GR" w:eastAsia="el-GR"/>
        </w:rPr>
        <w:t xml:space="preserve">έγγραφο αίτημα του Τμήματος Προμηθειών της ΑΕΔΙΚ για τις αναγκαίες </w:t>
      </w:r>
      <w:r w:rsidR="00C91DFC">
        <w:rPr>
          <w:szCs w:val="22"/>
          <w:lang w:val="el-GR" w:eastAsia="el-GR"/>
        </w:rPr>
        <w:t xml:space="preserve">συμβουλευτικές </w:t>
      </w:r>
      <w:r w:rsidR="00F42411" w:rsidRPr="00EF2E99">
        <w:rPr>
          <w:szCs w:val="22"/>
          <w:lang w:val="el-GR" w:eastAsia="el-GR"/>
        </w:rPr>
        <w:t>υπηρεσίες  της ΑΕΔΙΚ</w:t>
      </w:r>
      <w:r w:rsidR="00B7219C">
        <w:rPr>
          <w:szCs w:val="22"/>
          <w:lang w:val="el-GR" w:eastAsia="el-GR"/>
        </w:rPr>
        <w:t>,</w:t>
      </w:r>
      <w:r w:rsidR="00F42411" w:rsidRPr="00EF2E99">
        <w:rPr>
          <w:szCs w:val="22"/>
          <w:lang w:val="el-GR" w:eastAsia="el-GR"/>
        </w:rPr>
        <w:t xml:space="preserve"> ΑΔΑΜ </w:t>
      </w:r>
      <w:r w:rsidR="00494D1E" w:rsidRPr="00494D1E">
        <w:rPr>
          <w:szCs w:val="22"/>
          <w:lang w:val="el-GR" w:eastAsia="el-GR"/>
        </w:rPr>
        <w:t>20REQ006621758</w:t>
      </w:r>
      <w:r w:rsidR="00494D1E">
        <w:rPr>
          <w:szCs w:val="22"/>
          <w:lang w:val="el-GR" w:eastAsia="el-GR"/>
        </w:rPr>
        <w:t>.</w:t>
      </w:r>
    </w:p>
    <w:p w14:paraId="2CF21514" w14:textId="77777777" w:rsidR="00F42411" w:rsidRPr="00EF2E99" w:rsidRDefault="00F42411" w:rsidP="00460EC3">
      <w:pPr>
        <w:suppressAutoHyphens w:val="0"/>
        <w:spacing w:after="0" w:line="360" w:lineRule="auto"/>
        <w:ind w:left="360"/>
        <w:rPr>
          <w:szCs w:val="22"/>
          <w:lang w:val="el-GR" w:eastAsia="el-GR"/>
        </w:rPr>
      </w:pPr>
    </w:p>
    <w:p w14:paraId="5E1F662C" w14:textId="7F747C2F" w:rsidR="00D41FD6" w:rsidRPr="006B2C94" w:rsidRDefault="00D41FD6" w:rsidP="00B81A84">
      <w:pPr>
        <w:pStyle w:val="Heading2"/>
        <w:spacing w:line="360" w:lineRule="auto"/>
        <w:rPr>
          <w:lang w:val="el-GR"/>
        </w:rPr>
      </w:pPr>
      <w:r>
        <w:rPr>
          <w:rFonts w:ascii="Calibri" w:hAnsi="Calibri"/>
          <w:lang w:val="el-GR"/>
        </w:rPr>
        <w:t>1.5</w:t>
      </w:r>
      <w:r>
        <w:rPr>
          <w:rFonts w:ascii="Calibri" w:hAnsi="Calibri"/>
          <w:lang w:val="el-GR"/>
        </w:rPr>
        <w:tab/>
        <w:t xml:space="preserve">Προθεσμία </w:t>
      </w:r>
      <w:r w:rsidR="006C5DE2">
        <w:rPr>
          <w:rFonts w:ascii="Calibri" w:hAnsi="Calibri"/>
          <w:lang w:val="el-GR"/>
        </w:rPr>
        <w:t xml:space="preserve">Παραλαβής Προσφορών </w:t>
      </w:r>
      <w:r>
        <w:rPr>
          <w:rFonts w:ascii="Calibri" w:hAnsi="Calibri"/>
          <w:lang w:val="el-GR"/>
        </w:rPr>
        <w:t xml:space="preserve">και </w:t>
      </w:r>
      <w:r w:rsidR="006C5DE2">
        <w:rPr>
          <w:rFonts w:ascii="Calibri" w:hAnsi="Calibri"/>
          <w:lang w:val="el-GR"/>
        </w:rPr>
        <w:t xml:space="preserve">Διενέργεια </w:t>
      </w:r>
      <w:bookmarkEnd w:id="7"/>
      <w:r w:rsidR="006C5DE2">
        <w:rPr>
          <w:rFonts w:ascii="Calibri" w:hAnsi="Calibri"/>
          <w:lang w:val="el-GR"/>
        </w:rPr>
        <w:t xml:space="preserve">Διαδικασίας </w:t>
      </w:r>
    </w:p>
    <w:p w14:paraId="759F91E1" w14:textId="0700D106" w:rsidR="00D41FD6" w:rsidRDefault="00D41FD6" w:rsidP="00B81A84">
      <w:pPr>
        <w:spacing w:line="360" w:lineRule="auto"/>
        <w:rPr>
          <w:lang w:val="el-GR" w:eastAsia="el-GR"/>
        </w:rPr>
      </w:pPr>
      <w:r w:rsidRPr="00FC0268">
        <w:rPr>
          <w:lang w:val="el-GR" w:eastAsia="el-GR"/>
        </w:rPr>
        <w:t xml:space="preserve">Η καταληκτική ημερομηνία παραλαβής των προσφορών είναι η </w:t>
      </w:r>
      <w:r w:rsidR="00FC15A2" w:rsidRPr="00FC0268">
        <w:rPr>
          <w:lang w:val="el-GR" w:eastAsia="el-GR"/>
        </w:rPr>
        <w:t>02</w:t>
      </w:r>
      <w:r w:rsidR="00F50E47" w:rsidRPr="00FC0268">
        <w:rPr>
          <w:lang w:val="el-GR" w:eastAsia="el-GR"/>
        </w:rPr>
        <w:t>/06</w:t>
      </w:r>
      <w:r w:rsidR="00E76D38" w:rsidRPr="00FC0268">
        <w:rPr>
          <w:lang w:val="el-GR" w:eastAsia="el-GR"/>
        </w:rPr>
        <w:t xml:space="preserve">/2020 </w:t>
      </w:r>
      <w:r w:rsidRPr="00FC0268">
        <w:rPr>
          <w:lang w:val="el-GR" w:eastAsia="el-GR"/>
        </w:rPr>
        <w:t xml:space="preserve">και ώρα </w:t>
      </w:r>
      <w:r w:rsidR="00E76D38" w:rsidRPr="00FC0268">
        <w:rPr>
          <w:lang w:val="el-GR" w:eastAsia="el-GR"/>
        </w:rPr>
        <w:t>13:00.</w:t>
      </w:r>
    </w:p>
    <w:p w14:paraId="3F256044" w14:textId="77777777" w:rsidR="00D41FD6" w:rsidRPr="006B2C94" w:rsidRDefault="00D41FD6" w:rsidP="006B41C2">
      <w:pPr>
        <w:pStyle w:val="Heading1"/>
        <w:tabs>
          <w:tab w:val="left" w:pos="563"/>
        </w:tabs>
        <w:spacing w:line="360" w:lineRule="auto"/>
        <w:rPr>
          <w:lang w:val="el-GR"/>
        </w:rPr>
      </w:pPr>
      <w:bookmarkStart w:id="8" w:name="_Toc1374890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8"/>
    </w:p>
    <w:p w14:paraId="17EAF376" w14:textId="77777777" w:rsidR="00D41FD6" w:rsidRPr="006B2C94" w:rsidRDefault="00D41FD6" w:rsidP="006B41C2">
      <w:pPr>
        <w:pStyle w:val="Heading2"/>
        <w:spacing w:line="360" w:lineRule="auto"/>
        <w:rPr>
          <w:lang w:val="el-GR"/>
        </w:rPr>
      </w:pPr>
      <w:bookmarkStart w:id="9" w:name="_Toc13748901"/>
      <w:r>
        <w:rPr>
          <w:rFonts w:ascii="Calibri" w:hAnsi="Calibri"/>
          <w:lang w:val="el-GR"/>
        </w:rPr>
        <w:t>2.1</w:t>
      </w:r>
      <w:r>
        <w:rPr>
          <w:rFonts w:ascii="Calibri" w:hAnsi="Calibri"/>
          <w:lang w:val="el-GR"/>
        </w:rPr>
        <w:tab/>
        <w:t>Γενικές Πληροφορίες</w:t>
      </w:r>
      <w:bookmarkEnd w:id="9"/>
    </w:p>
    <w:p w14:paraId="2B8AB8C8" w14:textId="77777777" w:rsidR="00D41FD6" w:rsidRPr="006B2C94" w:rsidRDefault="00B16960" w:rsidP="003C1850">
      <w:pPr>
        <w:pStyle w:val="Heading3"/>
        <w:spacing w:line="360" w:lineRule="auto"/>
        <w:rPr>
          <w:lang w:val="el-GR"/>
        </w:rPr>
      </w:pPr>
      <w:bookmarkStart w:id="10" w:name="_Toc13748903"/>
      <w:r>
        <w:rPr>
          <w:rFonts w:ascii="Calibri" w:hAnsi="Calibri"/>
          <w:lang w:val="el-GR"/>
        </w:rPr>
        <w:t>2.1.1</w:t>
      </w:r>
      <w:r>
        <w:rPr>
          <w:rFonts w:ascii="Calibri" w:hAnsi="Calibri"/>
          <w:lang w:val="el-GR"/>
        </w:rPr>
        <w:tab/>
      </w:r>
      <w:r w:rsidR="00D41FD6">
        <w:rPr>
          <w:rFonts w:ascii="Calibri" w:hAnsi="Calibri"/>
          <w:lang w:val="el-GR"/>
        </w:rPr>
        <w:t xml:space="preserve">Επικοινωνία - Πρόσβαση στα </w:t>
      </w:r>
      <w:r w:rsidR="00E97829">
        <w:rPr>
          <w:rFonts w:ascii="Calibri" w:hAnsi="Calibri"/>
          <w:lang w:val="el-GR"/>
        </w:rPr>
        <w:t xml:space="preserve">Έγγραφα </w:t>
      </w:r>
      <w:r w:rsidR="00D41FD6">
        <w:rPr>
          <w:rFonts w:ascii="Calibri" w:hAnsi="Calibri"/>
          <w:lang w:val="el-GR"/>
        </w:rPr>
        <w:t>της Σύμβασης</w:t>
      </w:r>
      <w:bookmarkEnd w:id="10"/>
    </w:p>
    <w:p w14:paraId="03DF8C01" w14:textId="77777777" w:rsidR="00D41FD6" w:rsidRPr="006B2C94" w:rsidRDefault="00D41FD6" w:rsidP="003C1850">
      <w:pPr>
        <w:spacing w:line="360" w:lineRule="auto"/>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εκτελούνται</w:t>
      </w:r>
      <w:r w:rsidR="00C91DFC">
        <w:rPr>
          <w:lang w:val="el-GR"/>
        </w:rPr>
        <w:t xml:space="preserve"> στη διεύθυνση της έδρας της ΑΕΔΙΚ που αναφέρεται παραπάνω</w:t>
      </w:r>
      <w:r>
        <w:rPr>
          <w:lang w:val="el-GR"/>
        </w:rPr>
        <w:t>.</w:t>
      </w:r>
    </w:p>
    <w:p w14:paraId="320AB072" w14:textId="77777777" w:rsidR="00D41FD6" w:rsidRPr="00014578" w:rsidRDefault="00D41FD6" w:rsidP="006B41C2">
      <w:pPr>
        <w:spacing w:line="360" w:lineRule="auto"/>
        <w:rPr>
          <w:lang w:val="el-GR"/>
        </w:rPr>
      </w:pPr>
      <w:r>
        <w:rPr>
          <w:lang w:val="el-GR"/>
        </w:rPr>
        <w:t xml:space="preserve">Επιβάλλονται στους </w:t>
      </w:r>
      <w:r w:rsidR="002F5BD5">
        <w:rPr>
          <w:lang w:val="el-GR"/>
        </w:rPr>
        <w:t>Ο</w:t>
      </w:r>
      <w:r>
        <w:rPr>
          <w:lang w:val="el-GR"/>
        </w:rPr>
        <w:t xml:space="preserve">ικονομικούς </w:t>
      </w:r>
      <w:r w:rsidR="002F5BD5">
        <w:rPr>
          <w:lang w:val="el-GR"/>
        </w:rPr>
        <w:t xml:space="preserve">Φορείς </w:t>
      </w:r>
      <w:r>
        <w:rPr>
          <w:lang w:val="el-GR"/>
        </w:rPr>
        <w:t>οι κάτωθι απαιτήσεις με σκοπό την προστασία του εμπιστευτικού χαρακτήρα των πληροφοριών των ανωτέρω εγγράφων της σύμβασης</w:t>
      </w:r>
      <w:r w:rsidR="00014578">
        <w:rPr>
          <w:lang w:val="el-GR"/>
        </w:rPr>
        <w:t xml:space="preserve">. </w:t>
      </w:r>
      <w:r w:rsidRPr="00014578">
        <w:rPr>
          <w:lang w:val="el-GR"/>
        </w:rPr>
        <w:t xml:space="preserve">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w:t>
      </w:r>
      <w:r w:rsidR="00014578">
        <w:rPr>
          <w:lang w:val="el-GR"/>
        </w:rPr>
        <w:t>της ΑΕΔΙΚ</w:t>
      </w:r>
      <w:r w:rsidRPr="00014578">
        <w:rPr>
          <w:lang w:val="el-GR"/>
        </w:rPr>
        <w:t xml:space="preserve">,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w:t>
      </w:r>
    </w:p>
    <w:p w14:paraId="5F1FD416" w14:textId="77777777" w:rsidR="00D41FD6" w:rsidRPr="006B2C94" w:rsidRDefault="00D41FD6" w:rsidP="006B41C2">
      <w:pPr>
        <w:pStyle w:val="Heading3"/>
        <w:spacing w:line="360" w:lineRule="auto"/>
        <w:rPr>
          <w:lang w:val="el-GR"/>
        </w:rPr>
      </w:pPr>
      <w:bookmarkStart w:id="11" w:name="_Toc13748904"/>
      <w:r>
        <w:rPr>
          <w:rFonts w:ascii="Calibri" w:hAnsi="Calibri"/>
          <w:lang w:val="el-GR"/>
        </w:rPr>
        <w:t>2.1.</w:t>
      </w:r>
      <w:r w:rsidR="00FD4593">
        <w:rPr>
          <w:rFonts w:ascii="Calibri" w:hAnsi="Calibri"/>
          <w:lang w:val="el-GR"/>
        </w:rPr>
        <w:t>2</w:t>
      </w:r>
      <w:r>
        <w:rPr>
          <w:rFonts w:ascii="Calibri" w:hAnsi="Calibri"/>
          <w:lang w:val="el-GR"/>
        </w:rPr>
        <w:tab/>
        <w:t>Παροχή Διευκρινίσεων</w:t>
      </w:r>
      <w:bookmarkEnd w:id="11"/>
    </w:p>
    <w:p w14:paraId="6318458E" w14:textId="77777777" w:rsidR="00D41FD6" w:rsidRPr="006B2C94" w:rsidRDefault="00D41FD6" w:rsidP="006B41C2">
      <w:pPr>
        <w:spacing w:line="360" w:lineRule="auto"/>
        <w:rPr>
          <w:lang w:val="el-GR"/>
        </w:rPr>
      </w:pPr>
      <w:r>
        <w:rPr>
          <w:lang w:val="el-GR"/>
        </w:rPr>
        <w:t xml:space="preserve">Τα σχετικά αιτήματα παροχής διευκρινίσεων υποβάλλονται </w:t>
      </w:r>
      <w:r w:rsidR="00FD4593">
        <w:rPr>
          <w:lang w:val="el-GR"/>
        </w:rPr>
        <w:t>εγγράφως</w:t>
      </w:r>
      <w:r>
        <w:rPr>
          <w:lang w:val="el-GR"/>
        </w:rPr>
        <w:t xml:space="preserve">, το αργότερο </w:t>
      </w:r>
      <w:r w:rsidR="00014578">
        <w:rPr>
          <w:lang w:val="el-GR"/>
        </w:rPr>
        <w:t>τέσσερις (4)</w:t>
      </w:r>
      <w:r>
        <w:rPr>
          <w:lang w:val="el-GR"/>
        </w:rPr>
        <w:t xml:space="preserve"> ημέρες πριν την καταληκτική ημερομηνία υποβολής προσφορών και απαντώνται αντίστοιχα </w:t>
      </w:r>
      <w:r w:rsidR="00FD4593">
        <w:rPr>
          <w:lang w:val="el-GR"/>
        </w:rPr>
        <w:t>εγγράφως</w:t>
      </w:r>
      <w:r>
        <w:rPr>
          <w:lang w:val="el-GR"/>
        </w:rPr>
        <w:t xml:space="preserve">. </w:t>
      </w:r>
    </w:p>
    <w:p w14:paraId="35313233" w14:textId="77777777" w:rsidR="00D41FD6" w:rsidRPr="006B2C94" w:rsidRDefault="00D41FD6" w:rsidP="006B41C2">
      <w:pPr>
        <w:spacing w:line="360" w:lineRule="auto"/>
        <w:rPr>
          <w:lang w:val="el-GR"/>
        </w:rPr>
      </w:pPr>
      <w:r>
        <w:rPr>
          <w:lang w:val="el-GR"/>
        </w:rPr>
        <w:t xml:space="preserve">Η </w:t>
      </w:r>
      <w:r w:rsidR="00014578">
        <w:rPr>
          <w:lang w:val="el-GR"/>
        </w:rPr>
        <w:t xml:space="preserve">ΑΕΔΙΚ </w:t>
      </w:r>
      <w:r>
        <w:rPr>
          <w:lang w:val="el-GR"/>
        </w:rPr>
        <w:t>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B5FB1A8" w14:textId="77777777" w:rsidR="00D41FD6" w:rsidRPr="006B2C94" w:rsidRDefault="00D41FD6" w:rsidP="006B41C2">
      <w:pPr>
        <w:spacing w:line="360" w:lineRule="auto"/>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FD4593">
        <w:rPr>
          <w:lang w:val="el-GR"/>
        </w:rPr>
        <w:t>μία</w:t>
      </w:r>
      <w:r>
        <w:rPr>
          <w:lang w:val="el-GR"/>
        </w:rPr>
        <w:t xml:space="preserve"> (</w:t>
      </w:r>
      <w:r w:rsidR="00FD4593">
        <w:rPr>
          <w:lang w:val="el-GR"/>
        </w:rPr>
        <w:t>1</w:t>
      </w:r>
      <w:r>
        <w:rPr>
          <w:lang w:val="el-GR"/>
        </w:rPr>
        <w:t>) ημέρ</w:t>
      </w:r>
      <w:r w:rsidR="00FD4593">
        <w:rPr>
          <w:lang w:val="el-GR"/>
        </w:rPr>
        <w:t>α</w:t>
      </w:r>
      <w:r>
        <w:rPr>
          <w:lang w:val="el-GR"/>
        </w:rPr>
        <w:t xml:space="preserve"> πριν από την προθεσμία που ορίζεται για την παραλαβή των προσφορών, </w:t>
      </w:r>
    </w:p>
    <w:p w14:paraId="612F5FC8" w14:textId="77777777" w:rsidR="00D41FD6" w:rsidRPr="006B2C94" w:rsidRDefault="00D41FD6" w:rsidP="006B41C2">
      <w:pPr>
        <w:spacing w:line="360" w:lineRule="auto"/>
        <w:rPr>
          <w:lang w:val="el-GR"/>
        </w:rPr>
      </w:pPr>
      <w:r>
        <w:rPr>
          <w:lang w:val="el-GR"/>
        </w:rPr>
        <w:t>β) όταν τα έγγραφα της σύμβασης υφίστανται σημαντικές αλλαγές.</w:t>
      </w:r>
    </w:p>
    <w:p w14:paraId="717A6F1E" w14:textId="77777777" w:rsidR="00D41FD6" w:rsidRPr="006B2C94" w:rsidRDefault="00D41FD6" w:rsidP="006B41C2">
      <w:pPr>
        <w:spacing w:line="360" w:lineRule="auto"/>
        <w:rPr>
          <w:lang w:val="el-GR"/>
        </w:rPr>
      </w:pPr>
      <w:r>
        <w:rPr>
          <w:lang w:val="el-GR"/>
        </w:rPr>
        <w:t>Η διάρκεια της παράτασης θα είναι ανάλογη με τη σπουδαιότητα των πληροφοριών ή των αλλαγών.</w:t>
      </w:r>
    </w:p>
    <w:p w14:paraId="0105CE95" w14:textId="77777777" w:rsidR="00D41FD6" w:rsidRPr="006B2C94" w:rsidRDefault="00D41FD6" w:rsidP="006B41C2">
      <w:pPr>
        <w:spacing w:line="360" w:lineRule="auto"/>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lang w:val="el-GR"/>
        </w:rPr>
        <w:t>.</w:t>
      </w:r>
    </w:p>
    <w:p w14:paraId="56D2E732" w14:textId="77777777" w:rsidR="00D41FD6" w:rsidRPr="006B2C94" w:rsidRDefault="00D41FD6" w:rsidP="006B41C2">
      <w:pPr>
        <w:pStyle w:val="Heading3"/>
        <w:spacing w:line="360" w:lineRule="auto"/>
        <w:rPr>
          <w:lang w:val="el-GR"/>
        </w:rPr>
      </w:pPr>
      <w:bookmarkStart w:id="12" w:name="_Toc13748905"/>
      <w:r>
        <w:rPr>
          <w:rFonts w:ascii="Calibri" w:hAnsi="Calibri"/>
          <w:lang w:val="el-GR"/>
        </w:rPr>
        <w:t>2.1.</w:t>
      </w:r>
      <w:r w:rsidR="00FD4593">
        <w:rPr>
          <w:rFonts w:ascii="Calibri" w:hAnsi="Calibri"/>
          <w:lang w:val="el-GR"/>
        </w:rPr>
        <w:t>3</w:t>
      </w:r>
      <w:r>
        <w:rPr>
          <w:rFonts w:ascii="Calibri" w:hAnsi="Calibri"/>
          <w:lang w:val="el-GR"/>
        </w:rPr>
        <w:tab/>
        <w:t>Γλώσσα</w:t>
      </w:r>
      <w:bookmarkEnd w:id="12"/>
    </w:p>
    <w:p w14:paraId="73FC446D" w14:textId="77777777" w:rsidR="00D41FD6" w:rsidRDefault="00D41FD6" w:rsidP="006B41C2">
      <w:pPr>
        <w:spacing w:line="360" w:lineRule="auto"/>
        <w:rPr>
          <w:lang w:val="el-GR"/>
        </w:rPr>
      </w:pPr>
      <w:r>
        <w:rPr>
          <w:lang w:val="el-GR"/>
        </w:rPr>
        <w:t xml:space="preserve">Τα έγγραφα της σύμβασης έχουν συνταχθεί στην </w:t>
      </w:r>
      <w:r w:rsidR="006457B2">
        <w:rPr>
          <w:lang w:val="el-GR"/>
        </w:rPr>
        <w:t>Ελληνική Γλώσσα</w:t>
      </w:r>
      <w:r w:rsidR="00014578">
        <w:rPr>
          <w:lang w:val="el-GR"/>
        </w:rPr>
        <w:t xml:space="preserve"> και στην </w:t>
      </w:r>
      <w:r w:rsidR="009312E5">
        <w:rPr>
          <w:lang w:val="el-GR"/>
        </w:rPr>
        <w:t>Αγγλική</w:t>
      </w:r>
      <w:r w:rsidR="00FF5F8B">
        <w:rPr>
          <w:lang w:val="el-GR"/>
        </w:rPr>
        <w:t>.</w:t>
      </w:r>
      <w:r>
        <w:rPr>
          <w:lang w:val="el-GR"/>
        </w:rPr>
        <w:t xml:space="preserve"> Σε περίπτωση ασυμφωνίας μεταξύ των τμημάτων των εγγράφων της σύμβασης που έχουν συνταχθεί σε περισσότερες γλώσσες, επικρατεί η </w:t>
      </w:r>
      <w:r w:rsidR="009312E5">
        <w:rPr>
          <w:lang w:val="el-GR"/>
        </w:rPr>
        <w:t>Ε</w:t>
      </w:r>
      <w:r>
        <w:rPr>
          <w:lang w:val="el-GR"/>
        </w:rPr>
        <w:t>λληνική έκδοση.</w:t>
      </w:r>
    </w:p>
    <w:p w14:paraId="2FD9F80B" w14:textId="77777777" w:rsidR="00D41FD6" w:rsidRPr="006B2C94" w:rsidRDefault="00D41FD6" w:rsidP="006B41C2">
      <w:pPr>
        <w:spacing w:line="360" w:lineRule="auto"/>
        <w:rPr>
          <w:lang w:val="el-GR"/>
        </w:rPr>
      </w:pPr>
      <w:r>
        <w:rPr>
          <w:lang w:val="el-GR"/>
        </w:rPr>
        <w:lastRenderedPageBreak/>
        <w:t xml:space="preserve">Τυχόν ενστάσεις ή προδικαστικές προσφυγές υποβάλλονται στην </w:t>
      </w:r>
      <w:r w:rsidR="009312E5">
        <w:rPr>
          <w:lang w:val="el-GR"/>
        </w:rPr>
        <w:t>Ελληνική Γλώσσα</w:t>
      </w:r>
      <w:r>
        <w:rPr>
          <w:lang w:val="el-GR"/>
        </w:rPr>
        <w:t>.</w:t>
      </w:r>
    </w:p>
    <w:p w14:paraId="580D8DF2" w14:textId="77777777" w:rsidR="00D41FD6" w:rsidRPr="006B2C94" w:rsidRDefault="00D41FD6" w:rsidP="006B41C2">
      <w:pPr>
        <w:spacing w:line="360" w:lineRule="auto"/>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w:t>
      </w:r>
      <w:r w:rsidR="00254439">
        <w:rPr>
          <w:color w:val="000000"/>
          <w:lang w:val="el-GR"/>
        </w:rPr>
        <w:t>Ελληνική Γλώσσα</w:t>
      </w:r>
      <w:r>
        <w:rPr>
          <w:color w:val="000000"/>
          <w:lang w:val="el-GR"/>
        </w:rPr>
        <w:t xml:space="preserve"> ή συνοδεύονται από επίσημη μετάφρασή τους στην </w:t>
      </w:r>
      <w:r w:rsidR="00C72FB0">
        <w:rPr>
          <w:color w:val="000000"/>
          <w:lang w:val="el-GR"/>
        </w:rPr>
        <w:t>Ελληνική Γλώσσα</w:t>
      </w:r>
      <w:r>
        <w:rPr>
          <w:color w:val="000000"/>
          <w:lang w:val="el-GR"/>
        </w:rPr>
        <w:t xml:space="preserve">. Στα αλλοδαπά δημόσια έγγραφα και δικαιολογητικά εφαρμόζεται η Συνθήκη της Χάγης της 5ης.10.1961, που κυρώθηκε με το </w:t>
      </w:r>
      <w:r w:rsidR="00E1759E">
        <w:rPr>
          <w:color w:val="000000"/>
          <w:lang w:val="el-GR"/>
        </w:rPr>
        <w:t>Ν</w:t>
      </w:r>
      <w:r>
        <w:rPr>
          <w:color w:val="000000"/>
          <w:lang w:val="el-GR"/>
        </w:rPr>
        <w:t>. 1497/1984 (Α΄188).</w:t>
      </w:r>
      <w:r w:rsidR="00FF5F8B">
        <w:rPr>
          <w:color w:val="000000"/>
          <w:lang w:val="el-GR"/>
        </w:rPr>
        <w:t xml:space="preserve"> </w:t>
      </w:r>
      <w:r w:rsidRPr="00C229F3">
        <w:rPr>
          <w:color w:val="000000"/>
          <w:lang w:val="el-GR"/>
        </w:rPr>
        <w:t xml:space="preserve">Ειδικά, τα αλλοδαπά ιδιωτικά έγγραφα συνοδεύονται από μετάφρασή τους στην </w:t>
      </w:r>
      <w:r w:rsidR="002A717D">
        <w:rPr>
          <w:color w:val="000000"/>
          <w:lang w:val="el-GR"/>
        </w:rPr>
        <w:t>Ε</w:t>
      </w:r>
      <w:r w:rsidR="002A717D" w:rsidRPr="00C229F3">
        <w:rPr>
          <w:color w:val="000000"/>
          <w:lang w:val="el-GR"/>
        </w:rPr>
        <w:t xml:space="preserve">λληνική </w:t>
      </w:r>
      <w:r w:rsidR="002A717D">
        <w:rPr>
          <w:color w:val="000000"/>
          <w:lang w:val="el-GR"/>
        </w:rPr>
        <w:t>Γ</w:t>
      </w:r>
      <w:r w:rsidR="002A717D" w:rsidRPr="00C229F3">
        <w:rPr>
          <w:color w:val="000000"/>
          <w:lang w:val="el-GR"/>
        </w:rPr>
        <w:t>λώσσα</w:t>
      </w:r>
      <w:r w:rsidR="00432641">
        <w:rPr>
          <w:color w:val="000000"/>
          <w:lang w:val="el-GR"/>
        </w:rPr>
        <w:t>,</w:t>
      </w:r>
      <w:r w:rsidRPr="00C229F3">
        <w:rPr>
          <w:color w:val="00000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1B0B4F7D" w14:textId="77777777" w:rsidR="00D41FD6" w:rsidRPr="006B2C94" w:rsidRDefault="00D41FD6" w:rsidP="006B41C2">
      <w:pPr>
        <w:spacing w:line="360" w:lineRule="auto"/>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w:t>
      </w:r>
      <w:r w:rsidR="005E201D">
        <w:rPr>
          <w:color w:val="000000"/>
          <w:lang w:val="el-GR"/>
        </w:rPr>
        <w:t>Ελληνική Γλώσσα</w:t>
      </w:r>
      <w:r>
        <w:rPr>
          <w:color w:val="000000"/>
          <w:lang w:val="el-GR"/>
        </w:rPr>
        <w:t xml:space="preserve"> ή συνοδεύονται από επίσημη μετάφρασή τους στην </w:t>
      </w:r>
      <w:r w:rsidR="00CE6F52">
        <w:rPr>
          <w:color w:val="000000"/>
          <w:lang w:val="el-GR"/>
        </w:rPr>
        <w:t>Ελληνική Γλώσσα</w:t>
      </w:r>
      <w:r>
        <w:rPr>
          <w:color w:val="000000"/>
          <w:lang w:val="el-GR"/>
        </w:rPr>
        <w:t xml:space="preserve">. Στα αλλοδαπά δημόσια έγγραφα και δικαιολογητικά εφαρμόζεται η Συνθήκη της Χάγης της 5.10.1961, που κυρώθηκε με το </w:t>
      </w:r>
      <w:r w:rsidR="001541FC">
        <w:rPr>
          <w:color w:val="000000"/>
          <w:lang w:val="el-GR"/>
        </w:rPr>
        <w:t>Ν</w:t>
      </w:r>
      <w:r>
        <w:rPr>
          <w:color w:val="000000"/>
          <w:lang w:val="el-GR"/>
        </w:rPr>
        <w:t xml:space="preserve">. 1497/1984 (Α΄188). </w:t>
      </w:r>
      <w:r w:rsidRPr="00D20356">
        <w:rPr>
          <w:color w:val="000000"/>
          <w:lang w:val="el-GR"/>
        </w:rPr>
        <w:t xml:space="preserve">Ειδικά, τα αλλοδαπά ιδιωτικά έγγραφα συνοδεύονται από μετάφρασή τους στην </w:t>
      </w:r>
      <w:r w:rsidR="004F4CF4">
        <w:rPr>
          <w:color w:val="000000"/>
          <w:lang w:val="el-GR"/>
        </w:rPr>
        <w:t xml:space="preserve">Ελληνική Γλώσσα </w:t>
      </w:r>
      <w:r w:rsidRPr="00D20356">
        <w:rPr>
          <w:color w:val="000000"/>
          <w:lang w:val="el-GR"/>
        </w:rPr>
        <w:t>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1" w:space="0" w:color="FFFFFF"/>
          <w:lang w:val="el-GR"/>
        </w:rPr>
        <w:t>.</w:t>
      </w:r>
      <w:r>
        <w:rPr>
          <w:rStyle w:val="FootnoteReference2"/>
          <w:color w:val="000000"/>
          <w:lang w:val="el-GR"/>
        </w:rPr>
        <w:t xml:space="preserve"> </w:t>
      </w:r>
    </w:p>
    <w:p w14:paraId="1BF52855" w14:textId="77777777" w:rsidR="00D41FD6" w:rsidRPr="006B2C94" w:rsidRDefault="00D41FD6" w:rsidP="006B41C2">
      <w:pPr>
        <w:spacing w:line="360" w:lineRule="auto"/>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w:t>
      </w:r>
      <w:r w:rsidRPr="00FF5F8B">
        <w:rPr>
          <w:lang w:val="el-GR"/>
        </w:rPr>
        <w:t>γλώσσα</w:t>
      </w:r>
      <w:r w:rsidRPr="00FF5F8B">
        <w:rPr>
          <w:i/>
          <w:iCs/>
          <w:lang w:val="el-GR"/>
        </w:rPr>
        <w:t xml:space="preserve"> αγγλική</w:t>
      </w:r>
      <w:r>
        <w:rPr>
          <w:color w:val="000000"/>
          <w:lang w:val="el-GR"/>
        </w:rPr>
        <w:t xml:space="preserve">, χωρίς να συνοδεύονται από μετάφραση στην </w:t>
      </w:r>
      <w:r w:rsidR="003872AF">
        <w:rPr>
          <w:color w:val="000000"/>
          <w:lang w:val="el-GR"/>
        </w:rPr>
        <w:t>Ελληνική</w:t>
      </w:r>
      <w:r>
        <w:rPr>
          <w:color w:val="000000"/>
          <w:lang w:val="el-GR"/>
        </w:rPr>
        <w:t>.</w:t>
      </w:r>
    </w:p>
    <w:p w14:paraId="27190804" w14:textId="77777777" w:rsidR="00D41FD6" w:rsidRPr="006B2C94" w:rsidRDefault="00D41FD6" w:rsidP="006B41C2">
      <w:pPr>
        <w:spacing w:line="360" w:lineRule="auto"/>
        <w:rPr>
          <w:lang w:val="el-GR"/>
        </w:rPr>
      </w:pPr>
      <w:r>
        <w:rPr>
          <w:color w:val="000000"/>
          <w:lang w:val="el-GR"/>
        </w:rPr>
        <w:t>Κάθε μορφής επικοινωνία με την</w:t>
      </w:r>
      <w:r w:rsidR="00014578">
        <w:rPr>
          <w:color w:val="000000"/>
          <w:lang w:val="el-GR"/>
        </w:rPr>
        <w:t xml:space="preserve"> ΑΕΔΙΚ</w:t>
      </w:r>
      <w:r>
        <w:rPr>
          <w:color w:val="000000"/>
          <w:lang w:val="el-GR"/>
        </w:rPr>
        <w:t xml:space="preserve">, καθώς και μεταξύ αυτής και του αναδόχου, θα γίνονται υποχρεωτικά στην </w:t>
      </w:r>
      <w:r w:rsidR="003872AF">
        <w:rPr>
          <w:color w:val="000000"/>
          <w:lang w:val="el-GR"/>
        </w:rPr>
        <w:t>Ελληνική Γλώσσα</w:t>
      </w:r>
      <w:r w:rsidR="00FF5F8B">
        <w:rPr>
          <w:color w:val="000000"/>
          <w:lang w:val="el-GR"/>
        </w:rPr>
        <w:t>.</w:t>
      </w:r>
    </w:p>
    <w:p w14:paraId="065551B5" w14:textId="77777777" w:rsidR="00D41FD6" w:rsidRPr="006B2C94" w:rsidRDefault="003C1850" w:rsidP="003C1850">
      <w:pPr>
        <w:pStyle w:val="Heading2"/>
        <w:spacing w:line="360" w:lineRule="auto"/>
        <w:ind w:left="0" w:firstLine="0"/>
        <w:rPr>
          <w:lang w:val="el-GR"/>
        </w:rPr>
      </w:pPr>
      <w:bookmarkStart w:id="13" w:name="_Toc13748907"/>
      <w:r>
        <w:rPr>
          <w:rFonts w:ascii="Calibri" w:hAnsi="Calibri"/>
          <w:lang w:val="el-GR"/>
        </w:rPr>
        <w:t>2.2</w:t>
      </w:r>
      <w:r>
        <w:rPr>
          <w:rFonts w:ascii="Calibri" w:hAnsi="Calibri"/>
          <w:lang w:val="el-GR"/>
        </w:rPr>
        <w:tab/>
      </w:r>
      <w:r w:rsidR="00D41FD6">
        <w:rPr>
          <w:rFonts w:ascii="Calibri" w:hAnsi="Calibri"/>
          <w:lang w:val="el-GR"/>
        </w:rPr>
        <w:t>Δικαίωμα Συμμετοχής - Κριτήρια Ποιοτικής Επιλογής</w:t>
      </w:r>
      <w:bookmarkEnd w:id="13"/>
    </w:p>
    <w:p w14:paraId="122C2E7A" w14:textId="77777777" w:rsidR="00B21E69" w:rsidRPr="0010712E" w:rsidRDefault="00D41FD6" w:rsidP="006B41C2">
      <w:pPr>
        <w:pStyle w:val="Heading3"/>
        <w:spacing w:line="360" w:lineRule="auto"/>
        <w:rPr>
          <w:rFonts w:asciiTheme="minorHAnsi" w:hAnsiTheme="minorHAnsi"/>
          <w:lang w:val="el-GR"/>
        </w:rPr>
      </w:pPr>
      <w:bookmarkStart w:id="14" w:name="_Toc13748908"/>
      <w:r w:rsidRPr="0010712E">
        <w:rPr>
          <w:rFonts w:asciiTheme="minorHAnsi" w:hAnsiTheme="minorHAnsi"/>
          <w:lang w:val="el-GR"/>
        </w:rPr>
        <w:t>2.2.1</w:t>
      </w:r>
      <w:r w:rsidRPr="0010712E">
        <w:rPr>
          <w:rFonts w:asciiTheme="minorHAnsi" w:hAnsiTheme="minorHAnsi"/>
          <w:lang w:val="el-GR"/>
        </w:rPr>
        <w:tab/>
        <w:t xml:space="preserve">Δικαίωμα </w:t>
      </w:r>
      <w:bookmarkEnd w:id="14"/>
      <w:r w:rsidR="00E056B1" w:rsidRPr="0010712E">
        <w:rPr>
          <w:rFonts w:asciiTheme="minorHAnsi" w:hAnsiTheme="minorHAnsi"/>
          <w:lang w:val="el-GR"/>
        </w:rPr>
        <w:t>Συμμετοχής</w:t>
      </w:r>
    </w:p>
    <w:p w14:paraId="43FFA7C1" w14:textId="77777777" w:rsidR="00B21E69" w:rsidRPr="0010712E" w:rsidRDefault="00B21E69" w:rsidP="0010712E">
      <w:pPr>
        <w:pStyle w:val="Heading3"/>
        <w:spacing w:line="360" w:lineRule="auto"/>
        <w:ind w:left="0" w:firstLine="0"/>
        <w:rPr>
          <w:rFonts w:asciiTheme="minorHAnsi" w:hAnsiTheme="minorHAnsi"/>
          <w:b w:val="0"/>
          <w:lang w:val="el-GR"/>
        </w:rPr>
      </w:pPr>
      <w:r w:rsidRPr="0010712E">
        <w:rPr>
          <w:rFonts w:asciiTheme="minorHAnsi" w:hAnsiTheme="minorHAnsi" w:cs="Arial"/>
          <w:b w:val="0"/>
          <w:szCs w:val="22"/>
          <w:lang w:val="el-GR"/>
        </w:rPr>
        <w:t>Στ</w:t>
      </w:r>
      <w:r w:rsidR="000F2586" w:rsidRPr="0010712E">
        <w:rPr>
          <w:rFonts w:asciiTheme="minorHAnsi" w:hAnsiTheme="minorHAnsi" w:cs="Arial"/>
          <w:b w:val="0"/>
          <w:szCs w:val="22"/>
          <w:lang w:val="el-GR"/>
        </w:rPr>
        <w:t>η</w:t>
      </w:r>
      <w:r w:rsidRPr="0010712E">
        <w:rPr>
          <w:rFonts w:asciiTheme="minorHAnsi" w:hAnsiTheme="minorHAnsi" w:cs="Arial"/>
          <w:b w:val="0"/>
          <w:szCs w:val="22"/>
          <w:lang w:val="el-GR"/>
        </w:rPr>
        <w:t xml:space="preserve">ν </w:t>
      </w:r>
      <w:r w:rsidR="000F2586" w:rsidRPr="0010712E">
        <w:rPr>
          <w:rFonts w:asciiTheme="minorHAnsi" w:hAnsiTheme="minorHAnsi" w:cs="Arial"/>
          <w:b w:val="0"/>
          <w:szCs w:val="22"/>
          <w:lang w:val="el-GR"/>
        </w:rPr>
        <w:t xml:space="preserve">παρούσα διαδικασία ανάθεσης </w:t>
      </w:r>
      <w:r w:rsidRPr="0010712E">
        <w:rPr>
          <w:rFonts w:asciiTheme="minorHAnsi" w:hAnsiTheme="minorHAnsi" w:cs="Arial"/>
          <w:b w:val="0"/>
          <w:szCs w:val="22"/>
          <w:lang w:val="el-GR"/>
        </w:rPr>
        <w:t>δικαίωμα συμμετοχής έχουν εταιρείες ασφαλιστικής διαμεσολάβησης ή φυσικά πρόσωπα, που διαθέτουν άδεια από το Επαγγελματικό Επιμελητήριο της έδρας, Μεσίτη Ασφαλίσεων &amp; Αντασφαλίσεων.</w:t>
      </w:r>
    </w:p>
    <w:p w14:paraId="41D3821C" w14:textId="77777777" w:rsidR="00D41FD6" w:rsidRPr="006B2C94" w:rsidRDefault="00D41FD6" w:rsidP="006B41C2">
      <w:pPr>
        <w:spacing w:line="360" w:lineRule="auto"/>
        <w:rPr>
          <w:lang w:val="el-GR"/>
        </w:rPr>
      </w:pP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A3354B2" w14:textId="41F9F894" w:rsidR="00D41FD6" w:rsidRPr="006B2C94" w:rsidRDefault="001332F3" w:rsidP="006B41C2">
      <w:pPr>
        <w:spacing w:line="360" w:lineRule="auto"/>
        <w:rPr>
          <w:lang w:val="el-GR"/>
        </w:rPr>
      </w:pPr>
      <w:r>
        <w:rPr>
          <w:lang w:val="el-GR"/>
        </w:rPr>
        <w:t>-</w:t>
      </w:r>
      <w:r w:rsidR="00D41FD6">
        <w:rPr>
          <w:lang w:val="el-GR"/>
        </w:rPr>
        <w:t xml:space="preserve"> κράτος-μέλος της Ένωσης,</w:t>
      </w:r>
    </w:p>
    <w:p w14:paraId="4E45196A" w14:textId="77777777" w:rsidR="00D712C9" w:rsidRPr="00DA5A77" w:rsidRDefault="00D41FD6" w:rsidP="006B41C2">
      <w:pPr>
        <w:spacing w:line="360" w:lineRule="auto"/>
        <w:rPr>
          <w:rFonts w:asciiTheme="minorHAnsi" w:hAnsiTheme="minorHAnsi"/>
          <w:lang w:val="el-GR"/>
        </w:rPr>
      </w:pPr>
      <w:r w:rsidRPr="00DA5A77">
        <w:rPr>
          <w:rFonts w:asciiTheme="minorHAnsi" w:hAnsiTheme="minorHAnsi"/>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DA5A77">
        <w:rPr>
          <w:rFonts w:asciiTheme="minorHAnsi" w:hAnsiTheme="minorHAnsi"/>
          <w:lang w:val="el-GR"/>
        </w:rPr>
        <w:t>ολόκληρον</w:t>
      </w:r>
      <w:proofErr w:type="spellEnd"/>
      <w:r w:rsidRPr="00DA5A77">
        <w:rPr>
          <w:rFonts w:asciiTheme="minorHAnsi" w:hAnsiTheme="minorHAnsi"/>
          <w:lang w:val="el-GR"/>
        </w:rPr>
        <w:t xml:space="preserve">. </w:t>
      </w:r>
    </w:p>
    <w:p w14:paraId="4BECCECD" w14:textId="77777777" w:rsidR="00B21E69" w:rsidRPr="00DA5A77" w:rsidRDefault="00B21E69" w:rsidP="006B41C2">
      <w:pPr>
        <w:widowControl w:val="0"/>
        <w:spacing w:line="360" w:lineRule="auto"/>
        <w:rPr>
          <w:rFonts w:asciiTheme="minorHAnsi" w:hAnsiTheme="minorHAnsi" w:cs="Arial"/>
          <w:szCs w:val="22"/>
          <w:u w:val="single"/>
          <w:lang w:val="el-GR"/>
        </w:rPr>
      </w:pPr>
      <w:r w:rsidRPr="00DA5A77">
        <w:rPr>
          <w:rFonts w:asciiTheme="minorHAnsi" w:hAnsiTheme="minorHAnsi" w:cs="Arial"/>
          <w:szCs w:val="22"/>
          <w:lang w:val="el-GR"/>
        </w:rPr>
        <w:t xml:space="preserve">Για την αποφυγή σύγκρουσης συμφερόντων, οι εταιρείες που διαμεσολαβούν για την σύναψη </w:t>
      </w:r>
      <w:proofErr w:type="spellStart"/>
      <w:r w:rsidRPr="00DA5A77">
        <w:rPr>
          <w:rFonts w:asciiTheme="minorHAnsi" w:hAnsiTheme="minorHAnsi" w:cs="Arial"/>
          <w:szCs w:val="22"/>
          <w:lang w:val="el-GR"/>
        </w:rPr>
        <w:t>αντασφαλιστικών</w:t>
      </w:r>
      <w:proofErr w:type="spellEnd"/>
      <w:r w:rsidRPr="00DA5A77">
        <w:rPr>
          <w:rFonts w:asciiTheme="minorHAnsi" w:hAnsiTheme="minorHAnsi" w:cs="Arial"/>
          <w:szCs w:val="22"/>
          <w:lang w:val="el-GR"/>
        </w:rPr>
        <w:t xml:space="preserve"> συμβάσεων (</w:t>
      </w:r>
      <w:r w:rsidRPr="00DA5A77">
        <w:rPr>
          <w:rFonts w:asciiTheme="minorHAnsi" w:hAnsiTheme="minorHAnsi" w:cs="Arial"/>
          <w:szCs w:val="22"/>
          <w:lang w:val="en-US"/>
        </w:rPr>
        <w:t>Treaty</w:t>
      </w:r>
      <w:r w:rsidRPr="00DA5A77">
        <w:rPr>
          <w:rFonts w:asciiTheme="minorHAnsi" w:hAnsiTheme="minorHAnsi" w:cs="Arial"/>
          <w:szCs w:val="22"/>
          <w:lang w:val="el-GR"/>
        </w:rPr>
        <w:t xml:space="preserve"> </w:t>
      </w:r>
      <w:r w:rsidRPr="00DA5A77">
        <w:rPr>
          <w:rFonts w:asciiTheme="minorHAnsi" w:hAnsiTheme="minorHAnsi" w:cs="Arial"/>
          <w:szCs w:val="22"/>
          <w:lang w:val="en-US"/>
        </w:rPr>
        <w:t>R</w:t>
      </w:r>
      <w:r w:rsidRPr="00DA5A77">
        <w:rPr>
          <w:rFonts w:asciiTheme="minorHAnsi" w:hAnsiTheme="minorHAnsi" w:cs="Arial"/>
          <w:szCs w:val="22"/>
          <w:lang w:val="el-GR"/>
        </w:rPr>
        <w:t>/</w:t>
      </w:r>
      <w:r w:rsidRPr="00DA5A77">
        <w:rPr>
          <w:rFonts w:asciiTheme="minorHAnsi" w:hAnsiTheme="minorHAnsi" w:cs="Arial"/>
          <w:szCs w:val="22"/>
          <w:lang w:val="en-US"/>
        </w:rPr>
        <w:t>E</w:t>
      </w:r>
      <w:r w:rsidRPr="00DA5A77">
        <w:rPr>
          <w:rFonts w:asciiTheme="minorHAnsi" w:hAnsiTheme="minorHAnsi" w:cs="Arial"/>
          <w:szCs w:val="22"/>
          <w:lang w:val="el-GR"/>
        </w:rPr>
        <w:t xml:space="preserve">), οφείλουν να καταθέσουν λίστα των ασφαλιστικών εταιρειών  και το είδος αντασφάλισης. </w:t>
      </w:r>
    </w:p>
    <w:p w14:paraId="56C65966" w14:textId="77777777" w:rsidR="00E13B21" w:rsidRPr="00E13B21" w:rsidRDefault="00B21E69" w:rsidP="005010DF">
      <w:pPr>
        <w:widowControl w:val="0"/>
        <w:suppressAutoHyphens w:val="0"/>
        <w:spacing w:after="0" w:line="360" w:lineRule="auto"/>
        <w:rPr>
          <w:rFonts w:asciiTheme="minorHAnsi" w:hAnsiTheme="minorHAnsi"/>
          <w:szCs w:val="22"/>
          <w:lang w:val="el-GR"/>
        </w:rPr>
      </w:pPr>
      <w:r w:rsidRPr="00DA5A77">
        <w:rPr>
          <w:rFonts w:asciiTheme="minorHAnsi" w:hAnsiTheme="minorHAnsi" w:cs="Arial"/>
          <w:szCs w:val="22"/>
          <w:lang w:val="el-GR"/>
        </w:rPr>
        <w:t>Σε κάθε περίπτωση επιτρέπεται η υποβολή μόνο μίας προσφοράς από κάθε συμμετέχοντα.</w:t>
      </w:r>
      <w:r w:rsidR="000F2586" w:rsidRPr="00DA5A77">
        <w:rPr>
          <w:rFonts w:asciiTheme="minorHAnsi" w:hAnsiTheme="minorHAnsi" w:cs="Arial"/>
          <w:szCs w:val="22"/>
          <w:lang w:val="el-GR"/>
        </w:rPr>
        <w:t xml:space="preserve"> </w:t>
      </w:r>
      <w:r w:rsidRPr="00DA5A77">
        <w:rPr>
          <w:rFonts w:asciiTheme="minorHAnsi" w:hAnsiTheme="minorHAnsi"/>
          <w:b/>
          <w:bCs/>
          <w:szCs w:val="22"/>
          <w:u w:val="single"/>
          <w:lang w:val="el-GR"/>
        </w:rPr>
        <w:t xml:space="preserve">ΔΕΝ γίνονται </w:t>
      </w:r>
      <w:r w:rsidRPr="00DA5A77">
        <w:rPr>
          <w:rFonts w:asciiTheme="minorHAnsi" w:hAnsiTheme="minorHAnsi"/>
          <w:b/>
          <w:bCs/>
          <w:szCs w:val="22"/>
          <w:u w:val="single"/>
          <w:lang w:val="el-GR"/>
        </w:rPr>
        <w:lastRenderedPageBreak/>
        <w:t>δεκτοί</w:t>
      </w:r>
      <w:r w:rsidR="000F2586" w:rsidRPr="00DA5A77">
        <w:rPr>
          <w:rFonts w:asciiTheme="minorHAnsi" w:hAnsiTheme="minorHAnsi"/>
          <w:b/>
          <w:bCs/>
          <w:szCs w:val="22"/>
          <w:u w:val="single"/>
          <w:lang w:val="el-GR"/>
        </w:rPr>
        <w:t xml:space="preserve"> στη διαδικασία ανάθεσης</w:t>
      </w:r>
      <w:r w:rsidRPr="00DA5A77">
        <w:rPr>
          <w:rFonts w:asciiTheme="minorHAnsi" w:hAnsiTheme="minorHAnsi"/>
          <w:b/>
          <w:bCs/>
          <w:szCs w:val="22"/>
          <w:u w:val="single"/>
          <w:lang w:val="el-GR"/>
        </w:rPr>
        <w:t>:</w:t>
      </w:r>
    </w:p>
    <w:p w14:paraId="12609079" w14:textId="77777777" w:rsidR="00E13B21" w:rsidRDefault="00B21E69" w:rsidP="00E13B21">
      <w:pPr>
        <w:widowControl w:val="0"/>
        <w:suppressAutoHyphens w:val="0"/>
        <w:spacing w:after="0" w:line="360" w:lineRule="auto"/>
        <w:rPr>
          <w:rFonts w:asciiTheme="minorHAnsi" w:hAnsiTheme="minorHAnsi"/>
          <w:bCs/>
          <w:szCs w:val="22"/>
          <w:lang w:val="el-GR"/>
        </w:rPr>
      </w:pPr>
      <w:r w:rsidRPr="00DA5A77">
        <w:rPr>
          <w:rFonts w:asciiTheme="minorHAnsi" w:hAnsiTheme="minorHAnsi"/>
          <w:bCs/>
          <w:szCs w:val="22"/>
          <w:lang w:val="el-GR"/>
        </w:rPr>
        <w:t xml:space="preserve">Α. </w:t>
      </w:r>
      <w:r w:rsidRPr="00DA5A77">
        <w:rPr>
          <w:rFonts w:asciiTheme="minorHAnsi" w:hAnsiTheme="minorHAnsi"/>
          <w:b/>
          <w:bCs/>
          <w:szCs w:val="22"/>
          <w:lang w:val="el-GR"/>
        </w:rPr>
        <w:t>Ασφαλιστικές Εταιρίες</w:t>
      </w:r>
      <w:r w:rsidRPr="00DA5A77">
        <w:rPr>
          <w:rFonts w:asciiTheme="minorHAnsi" w:hAnsiTheme="minorHAnsi"/>
          <w:bCs/>
          <w:szCs w:val="22"/>
          <w:lang w:val="el-GR"/>
        </w:rPr>
        <w:t>, λόγω ότι δεν παρέχουν αμερόληπτη ανάλυση ασφαλιστικών αναγκών (αποφυγή σύγκρουσης συμφερόντων).</w:t>
      </w:r>
    </w:p>
    <w:p w14:paraId="1D933372" w14:textId="77777777" w:rsidR="001A515D" w:rsidRDefault="00B21E69" w:rsidP="00E13B21">
      <w:pPr>
        <w:widowControl w:val="0"/>
        <w:suppressAutoHyphens w:val="0"/>
        <w:spacing w:after="0" w:line="360" w:lineRule="auto"/>
        <w:rPr>
          <w:rFonts w:asciiTheme="minorHAnsi" w:hAnsiTheme="minorHAnsi"/>
          <w:bCs/>
          <w:szCs w:val="22"/>
          <w:lang w:val="el-GR"/>
        </w:rPr>
      </w:pPr>
      <w:r w:rsidRPr="00DA5A77">
        <w:rPr>
          <w:rFonts w:asciiTheme="minorHAnsi" w:hAnsiTheme="minorHAnsi"/>
          <w:bCs/>
          <w:szCs w:val="22"/>
          <w:lang w:val="el-GR"/>
        </w:rPr>
        <w:t xml:space="preserve">Β. </w:t>
      </w:r>
      <w:r w:rsidRPr="00DA5A77">
        <w:rPr>
          <w:rFonts w:asciiTheme="minorHAnsi" w:hAnsiTheme="minorHAnsi"/>
          <w:b/>
          <w:bCs/>
          <w:szCs w:val="22"/>
          <w:lang w:val="el-GR"/>
        </w:rPr>
        <w:t>Σύμβουλοι</w:t>
      </w:r>
      <w:r w:rsidRPr="00DA5A77">
        <w:rPr>
          <w:rFonts w:asciiTheme="minorHAnsi" w:hAnsiTheme="minorHAnsi"/>
          <w:bCs/>
          <w:szCs w:val="22"/>
          <w:lang w:val="el-GR"/>
        </w:rPr>
        <w:t>, που έχουν ως κύρια δραστηριότητα την ασφαλιστική διαμεσολάβηση αλλά δεν δραστηριοποιούνται στην Ελλάδα, με βάση το καθεστώς εγκατάστασης ή ελεύθερης παροχής υπηρεσιών.</w:t>
      </w:r>
    </w:p>
    <w:p w14:paraId="33296CD0" w14:textId="77777777" w:rsidR="001A04E5" w:rsidRDefault="00B21E69" w:rsidP="00E13B21">
      <w:pPr>
        <w:widowControl w:val="0"/>
        <w:suppressAutoHyphens w:val="0"/>
        <w:spacing w:after="0" w:line="360" w:lineRule="auto"/>
        <w:rPr>
          <w:rFonts w:asciiTheme="minorHAnsi" w:hAnsiTheme="minorHAnsi"/>
          <w:bCs/>
          <w:szCs w:val="22"/>
          <w:lang w:val="el-GR"/>
        </w:rPr>
      </w:pPr>
      <w:r w:rsidRPr="00DA5A77">
        <w:rPr>
          <w:rFonts w:asciiTheme="minorHAnsi" w:hAnsiTheme="minorHAnsi"/>
          <w:bCs/>
          <w:szCs w:val="22"/>
          <w:lang w:val="el-GR"/>
        </w:rPr>
        <w:t xml:space="preserve">Γ. </w:t>
      </w:r>
      <w:r w:rsidRPr="00DA5A77">
        <w:rPr>
          <w:rFonts w:asciiTheme="minorHAnsi" w:hAnsiTheme="minorHAnsi"/>
          <w:b/>
          <w:bCs/>
          <w:szCs w:val="22"/>
          <w:lang w:val="el-GR"/>
        </w:rPr>
        <w:t>Συνδεδεμένοι διαμεσολαβητές</w:t>
      </w:r>
      <w:r w:rsidRPr="00DA5A77">
        <w:rPr>
          <w:rFonts w:asciiTheme="minorHAnsi" w:hAnsiTheme="minorHAnsi"/>
          <w:bCs/>
          <w:szCs w:val="22"/>
          <w:lang w:val="el-GR"/>
        </w:rPr>
        <w:t xml:space="preserve">,(πράκτορες ή ασφαλιστικοί σύμβουλοι), που εκ της επαγγελματικής δραστηριότητάς τους με βάση το ΠΔ190/2006 δεν είναι σε θέση να παρέχουν αμερόληπτη ανάλυση και πληροφόρηση, που θα βασίζεται σε επαρκή αριθμό ασφαλιστικών εταιριών και συμβάσεων που διατίθενται στην αγορά αλλά και δεν εκπροσωπούν αποκλειστικά τον </w:t>
      </w:r>
      <w:proofErr w:type="spellStart"/>
      <w:r w:rsidRPr="00DA5A77">
        <w:rPr>
          <w:rFonts w:asciiTheme="minorHAnsi" w:hAnsiTheme="minorHAnsi"/>
          <w:bCs/>
          <w:szCs w:val="22"/>
          <w:lang w:val="el-GR"/>
        </w:rPr>
        <w:t>Ασφαλιζόμενο</w:t>
      </w:r>
      <w:proofErr w:type="spellEnd"/>
      <w:r w:rsidRPr="00DA5A77">
        <w:rPr>
          <w:rFonts w:asciiTheme="minorHAnsi" w:hAnsiTheme="minorHAnsi"/>
          <w:bCs/>
          <w:szCs w:val="22"/>
          <w:lang w:val="el-GR"/>
        </w:rPr>
        <w:t xml:space="preserve"> όπως οι Μεσίτες Ασφάλισης, αλλά μόνον τις ασφαλιστικές εταιρίες</w:t>
      </w:r>
    </w:p>
    <w:p w14:paraId="57403D94" w14:textId="77777777" w:rsidR="00B21E69" w:rsidRPr="00DA5A77" w:rsidRDefault="00B21E69" w:rsidP="00E13B21">
      <w:pPr>
        <w:widowControl w:val="0"/>
        <w:suppressAutoHyphens w:val="0"/>
        <w:spacing w:after="0" w:line="360" w:lineRule="auto"/>
        <w:rPr>
          <w:rFonts w:asciiTheme="minorHAnsi" w:hAnsiTheme="minorHAnsi"/>
          <w:szCs w:val="22"/>
          <w:lang w:val="el-GR"/>
        </w:rPr>
      </w:pPr>
      <w:r w:rsidRPr="00DA5A77">
        <w:rPr>
          <w:rFonts w:asciiTheme="minorHAnsi" w:hAnsiTheme="minorHAnsi"/>
          <w:bCs/>
          <w:szCs w:val="22"/>
          <w:lang w:val="el-GR"/>
        </w:rPr>
        <w:t xml:space="preserve">Δ. </w:t>
      </w:r>
      <w:r w:rsidRPr="00DA5A77">
        <w:rPr>
          <w:rFonts w:asciiTheme="minorHAnsi" w:hAnsiTheme="minorHAnsi"/>
          <w:b/>
          <w:bCs/>
          <w:szCs w:val="22"/>
          <w:lang w:val="el-GR"/>
        </w:rPr>
        <w:t>Σύμβουλοι</w:t>
      </w:r>
      <w:r w:rsidRPr="00DA5A77">
        <w:rPr>
          <w:rFonts w:asciiTheme="minorHAnsi" w:hAnsiTheme="minorHAnsi"/>
          <w:bCs/>
          <w:szCs w:val="22"/>
          <w:lang w:val="el-GR"/>
        </w:rPr>
        <w:t>, που παρέχουν περιστασιακή παροχή ασφαλιστικών συμβουλών στο πλαίσιο άλλης επαγγελματικής δραστηριότητας ή δεν έχουν ως κύρια δραστηριότητα την παροχή ασφαλιστικών συμβουλών.</w:t>
      </w:r>
    </w:p>
    <w:p w14:paraId="568744AF" w14:textId="77777777" w:rsidR="00D41FD6" w:rsidRPr="00C229F3" w:rsidRDefault="00D41FD6" w:rsidP="006B41C2">
      <w:pPr>
        <w:pStyle w:val="Heading3"/>
        <w:spacing w:line="360" w:lineRule="auto"/>
        <w:rPr>
          <w:lang w:val="el-GR"/>
        </w:rPr>
      </w:pPr>
      <w:bookmarkStart w:id="15" w:name="_Toc13748910"/>
      <w:r>
        <w:rPr>
          <w:rFonts w:ascii="Calibri" w:hAnsi="Calibri"/>
          <w:lang w:val="el-GR"/>
        </w:rPr>
        <w:t>2.2.</w:t>
      </w:r>
      <w:r w:rsidR="00FD4593">
        <w:rPr>
          <w:rFonts w:ascii="Calibri" w:hAnsi="Calibri"/>
          <w:lang w:val="el-GR"/>
        </w:rPr>
        <w:t>2</w:t>
      </w:r>
      <w:r>
        <w:rPr>
          <w:rFonts w:ascii="Calibri" w:hAnsi="Calibri"/>
          <w:lang w:val="el-GR"/>
        </w:rPr>
        <w:tab/>
        <w:t xml:space="preserve">Λόγοι </w:t>
      </w:r>
      <w:bookmarkEnd w:id="15"/>
      <w:r w:rsidR="00505419">
        <w:rPr>
          <w:rFonts w:ascii="Calibri" w:hAnsi="Calibri"/>
          <w:lang w:val="el-GR"/>
        </w:rPr>
        <w:t xml:space="preserve">Αποκλεισμού </w:t>
      </w:r>
    </w:p>
    <w:p w14:paraId="1E62D953" w14:textId="731B42B1" w:rsidR="00D41FD6" w:rsidRDefault="00D41FD6" w:rsidP="006B41C2">
      <w:pPr>
        <w:spacing w:line="360" w:lineRule="auto"/>
        <w:rPr>
          <w:lang w:val="el-GR"/>
        </w:rPr>
      </w:pPr>
      <w:r>
        <w:rPr>
          <w:lang w:val="el-GR"/>
        </w:rPr>
        <w:t>Αποκλείεται από τη συμμετοχή στην παρούσα διαδικασία σύναψης σύμβασης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λόγους</w:t>
      </w:r>
      <w:r w:rsidR="00FD4593">
        <w:rPr>
          <w:lang w:val="el-GR"/>
        </w:rPr>
        <w:t xml:space="preserve"> που αναφέρονται στα άρθρα 72 </w:t>
      </w:r>
      <w:proofErr w:type="spellStart"/>
      <w:r w:rsidR="00FD4593">
        <w:rPr>
          <w:lang w:val="el-GR"/>
        </w:rPr>
        <w:t>επ</w:t>
      </w:r>
      <w:proofErr w:type="spellEnd"/>
      <w:r w:rsidR="00FD4593">
        <w:rPr>
          <w:lang w:val="el-GR"/>
        </w:rPr>
        <w:t>. Ν</w:t>
      </w:r>
      <w:r w:rsidR="00155A17" w:rsidRPr="00C14C03">
        <w:rPr>
          <w:lang w:val="el-GR"/>
          <w:rPrChange w:id="16" w:author="Theodora Filandra" w:date="2020-04-29T14:43:00Z">
            <w:rPr/>
          </w:rPrChange>
        </w:rPr>
        <w:t>.</w:t>
      </w:r>
      <w:r w:rsidR="00FD4593">
        <w:rPr>
          <w:lang w:val="el-GR"/>
        </w:rPr>
        <w:t xml:space="preserve"> 4412/2016</w:t>
      </w:r>
      <w:r w:rsidR="00627442">
        <w:rPr>
          <w:lang w:val="el-GR"/>
        </w:rPr>
        <w:t>.</w:t>
      </w:r>
    </w:p>
    <w:p w14:paraId="51380045" w14:textId="77777777" w:rsidR="00EE6C3F" w:rsidRPr="00C229F3" w:rsidRDefault="00EE6C3F" w:rsidP="006B41C2">
      <w:pPr>
        <w:spacing w:line="360" w:lineRule="auto"/>
        <w:rPr>
          <w:lang w:val="el-GR"/>
        </w:rPr>
      </w:pPr>
    </w:p>
    <w:p w14:paraId="6C6F3CF7" w14:textId="77777777" w:rsidR="00D41FD6" w:rsidRPr="00155576" w:rsidRDefault="00CC1C5C" w:rsidP="006B41C2">
      <w:pPr>
        <w:spacing w:line="360" w:lineRule="auto"/>
        <w:jc w:val="left"/>
        <w:rPr>
          <w:szCs w:val="22"/>
          <w:lang w:val="el-GR"/>
        </w:rPr>
      </w:pPr>
      <w:r w:rsidRPr="00155576">
        <w:rPr>
          <w:b/>
          <w:bCs/>
          <w:color w:val="000000"/>
          <w:szCs w:val="22"/>
          <w:lang w:val="el-GR"/>
        </w:rPr>
        <w:t>2.2.3</w:t>
      </w:r>
      <w:r w:rsidRPr="00155576">
        <w:rPr>
          <w:b/>
          <w:bCs/>
          <w:color w:val="000000"/>
          <w:szCs w:val="22"/>
          <w:lang w:val="el-GR"/>
        </w:rPr>
        <w:tab/>
      </w:r>
      <w:r w:rsidR="00D41FD6" w:rsidRPr="00155576">
        <w:rPr>
          <w:b/>
          <w:bCs/>
          <w:color w:val="000000"/>
          <w:szCs w:val="22"/>
          <w:lang w:val="el-GR"/>
        </w:rPr>
        <w:t>Κριτήρια Επιλογής</w:t>
      </w:r>
      <w:r w:rsidR="00D41FD6" w:rsidRPr="00155576">
        <w:rPr>
          <w:rStyle w:val="FootnoteReference2"/>
          <w:b/>
          <w:bCs/>
          <w:color w:val="000000"/>
          <w:szCs w:val="22"/>
          <w:lang w:val="el-GR"/>
        </w:rPr>
        <w:t xml:space="preserve"> </w:t>
      </w:r>
    </w:p>
    <w:p w14:paraId="0282D123" w14:textId="77777777" w:rsidR="00D41FD6" w:rsidRPr="00C229F3" w:rsidRDefault="00D41FD6" w:rsidP="006B41C2">
      <w:pPr>
        <w:pStyle w:val="Heading3"/>
        <w:spacing w:line="360" w:lineRule="auto"/>
        <w:rPr>
          <w:lang w:val="el-GR"/>
        </w:rPr>
      </w:pPr>
      <w:bookmarkStart w:id="17" w:name="_Toc13748911"/>
      <w:r>
        <w:rPr>
          <w:rFonts w:ascii="Calibri" w:hAnsi="Calibri"/>
          <w:lang w:val="el-GR"/>
        </w:rPr>
        <w:t>2.2.</w:t>
      </w:r>
      <w:r w:rsidR="00FD4593">
        <w:rPr>
          <w:rFonts w:ascii="Calibri" w:hAnsi="Calibri"/>
          <w:lang w:val="el-GR"/>
        </w:rPr>
        <w:t>3</w:t>
      </w:r>
      <w:r w:rsidR="00155576">
        <w:rPr>
          <w:rFonts w:ascii="Calibri" w:hAnsi="Calibri"/>
          <w:lang w:val="el-GR"/>
        </w:rPr>
        <w:t>.1</w:t>
      </w:r>
      <w:r>
        <w:rPr>
          <w:rFonts w:ascii="Calibri" w:hAnsi="Calibri"/>
          <w:lang w:val="el-GR"/>
        </w:rPr>
        <w:tab/>
      </w:r>
      <w:proofErr w:type="spellStart"/>
      <w:r>
        <w:rPr>
          <w:rFonts w:ascii="Calibri" w:hAnsi="Calibri"/>
          <w:lang w:val="el-GR"/>
        </w:rPr>
        <w:t>Καταλληλότητα</w:t>
      </w:r>
      <w:proofErr w:type="spellEnd"/>
      <w:r>
        <w:rPr>
          <w:rFonts w:ascii="Calibri" w:hAnsi="Calibri"/>
          <w:lang w:val="el-GR"/>
        </w:rPr>
        <w:t xml:space="preserve"> </w:t>
      </w:r>
      <w:r w:rsidR="00BE6994">
        <w:rPr>
          <w:rFonts w:ascii="Calibri" w:hAnsi="Calibri"/>
          <w:lang w:val="el-GR"/>
        </w:rPr>
        <w:t xml:space="preserve">Άσκησης Επαγγελματικής </w:t>
      </w:r>
      <w:bookmarkEnd w:id="17"/>
      <w:r w:rsidR="00BE6994">
        <w:rPr>
          <w:rFonts w:ascii="Calibri" w:hAnsi="Calibri"/>
          <w:lang w:val="el-GR"/>
        </w:rPr>
        <w:t xml:space="preserve">Δραστηριότητας </w:t>
      </w:r>
    </w:p>
    <w:p w14:paraId="6F9DD380" w14:textId="77777777" w:rsidR="00D41FD6" w:rsidRDefault="00D41FD6" w:rsidP="006B41C2">
      <w:pPr>
        <w:spacing w:line="360" w:lineRule="auto"/>
        <w:rPr>
          <w:rFonts w:eastAsia="Calibri"/>
          <w:bCs/>
          <w:color w:val="000000"/>
          <w:lang w:val="el-GR"/>
        </w:rPr>
      </w:pPr>
      <w:r w:rsidRPr="003A55C7">
        <w:rPr>
          <w:rFonts w:eastAsia="Calibri"/>
          <w:bCs/>
          <w:color w:val="000000"/>
          <w:lang w:val="el-GR"/>
        </w:rPr>
        <w:t xml:space="preserve">Οι </w:t>
      </w:r>
      <w:r w:rsidR="00985BE6">
        <w:rPr>
          <w:rFonts w:eastAsia="Calibri"/>
          <w:bCs/>
          <w:color w:val="000000"/>
          <w:lang w:val="el-GR"/>
        </w:rPr>
        <w:t>Ο</w:t>
      </w:r>
      <w:r w:rsidR="00985BE6" w:rsidRPr="003A55C7">
        <w:rPr>
          <w:rFonts w:eastAsia="Calibri"/>
          <w:bCs/>
          <w:color w:val="000000"/>
          <w:lang w:val="el-GR"/>
        </w:rPr>
        <w:t xml:space="preserve">ικονομικοί </w:t>
      </w:r>
      <w:r w:rsidR="00985BE6">
        <w:rPr>
          <w:rFonts w:eastAsia="Calibri"/>
          <w:bCs/>
          <w:color w:val="000000"/>
          <w:lang w:val="el-GR"/>
        </w:rPr>
        <w:t>Φ</w:t>
      </w:r>
      <w:r w:rsidRPr="003A55C7">
        <w:rPr>
          <w:rFonts w:eastAsia="Calibri"/>
          <w:bCs/>
          <w:color w:val="000000"/>
          <w:lang w:val="el-GR"/>
        </w:rPr>
        <w:t xml:space="preserve">ορείς που συμμετέχουν στη διαδικασία σύναψης της παρούσας σύμβασης απαιτείται να </w:t>
      </w:r>
      <w:r w:rsidR="00BD0134">
        <w:rPr>
          <w:rFonts w:eastAsia="Calibri"/>
          <w:bCs/>
          <w:color w:val="000000"/>
          <w:lang w:val="el-GR"/>
        </w:rPr>
        <w:t>πληρούν τις προϋποθέσεις της παραγράφου 2.2.1 ανωτέρω</w:t>
      </w:r>
      <w:r w:rsidR="002430E8">
        <w:rPr>
          <w:rFonts w:eastAsia="Calibri"/>
          <w:bCs/>
          <w:color w:val="000000"/>
          <w:lang w:val="el-GR"/>
        </w:rPr>
        <w:t>.</w:t>
      </w:r>
    </w:p>
    <w:p w14:paraId="14C7C0A7" w14:textId="77777777" w:rsidR="00B21E69" w:rsidRPr="00C229F3" w:rsidRDefault="00B21E69" w:rsidP="006B41C2">
      <w:pPr>
        <w:spacing w:line="360" w:lineRule="auto"/>
        <w:rPr>
          <w:lang w:val="el-GR"/>
        </w:rPr>
      </w:pPr>
    </w:p>
    <w:p w14:paraId="4E36877B" w14:textId="77777777" w:rsidR="00D41FD6" w:rsidRPr="00C229F3" w:rsidRDefault="00D41FD6" w:rsidP="006B41C2">
      <w:pPr>
        <w:pStyle w:val="Heading3"/>
        <w:spacing w:line="360" w:lineRule="auto"/>
        <w:rPr>
          <w:lang w:val="el-GR"/>
        </w:rPr>
      </w:pPr>
      <w:bookmarkStart w:id="18" w:name="_Toc13748912"/>
      <w:r>
        <w:rPr>
          <w:rFonts w:ascii="Calibri" w:hAnsi="Calibri"/>
          <w:lang w:val="el-GR"/>
        </w:rPr>
        <w:t>2.2.</w:t>
      </w:r>
      <w:r w:rsidR="00777A88">
        <w:rPr>
          <w:rFonts w:ascii="Calibri" w:hAnsi="Calibri"/>
          <w:lang w:val="el-GR"/>
        </w:rPr>
        <w:t>3.2</w:t>
      </w:r>
      <w:r>
        <w:rPr>
          <w:rFonts w:ascii="Calibri" w:hAnsi="Calibri"/>
          <w:lang w:val="el-GR"/>
        </w:rPr>
        <w:tab/>
        <w:t xml:space="preserve">Οικονομική και </w:t>
      </w:r>
      <w:r w:rsidR="00777A88">
        <w:rPr>
          <w:rFonts w:ascii="Calibri" w:hAnsi="Calibri"/>
          <w:lang w:val="el-GR"/>
        </w:rPr>
        <w:t xml:space="preserve">Χρηματοοικονομική </w:t>
      </w:r>
      <w:bookmarkEnd w:id="18"/>
      <w:r w:rsidR="00777A88">
        <w:rPr>
          <w:rFonts w:ascii="Calibri" w:hAnsi="Calibri"/>
          <w:lang w:val="el-GR"/>
        </w:rPr>
        <w:t xml:space="preserve">Επάρκεια </w:t>
      </w:r>
    </w:p>
    <w:p w14:paraId="1CF85819" w14:textId="77777777" w:rsidR="00D41FD6" w:rsidRPr="00C229F3" w:rsidRDefault="00D41FD6" w:rsidP="006B41C2">
      <w:pPr>
        <w:spacing w:line="360" w:lineRule="auto"/>
        <w:rPr>
          <w:lang w:val="el-GR"/>
        </w:rPr>
      </w:pPr>
      <w:r>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r>
        <w:rPr>
          <w:i/>
          <w:color w:val="5B9BD5"/>
          <w:szCs w:val="22"/>
          <w:lang w:val="el-GR"/>
        </w:rPr>
        <w:t xml:space="preserve"> </w:t>
      </w:r>
      <w:r>
        <w:rPr>
          <w:szCs w:val="22"/>
          <w:lang w:val="el-GR"/>
        </w:rPr>
        <w:t xml:space="preserve">να </w:t>
      </w:r>
      <w:r>
        <w:rPr>
          <w:rStyle w:val="CommentReference"/>
          <w:sz w:val="22"/>
          <w:szCs w:val="22"/>
          <w:lang w:val="el-GR"/>
        </w:rPr>
        <w:t>διαθέτουν/ παρέχουν</w:t>
      </w:r>
      <w:r>
        <w:rPr>
          <w:szCs w:val="22"/>
          <w:lang w:val="el-GR"/>
        </w:rPr>
        <w:t xml:space="preserve">: </w:t>
      </w:r>
    </w:p>
    <w:p w14:paraId="7E586576" w14:textId="77777777" w:rsidR="00D41FD6" w:rsidRPr="00393AE5" w:rsidRDefault="0072781F" w:rsidP="00393AE5">
      <w:pPr>
        <w:pStyle w:val="ListParagraph"/>
        <w:numPr>
          <w:ilvl w:val="0"/>
          <w:numId w:val="20"/>
        </w:numPr>
        <w:spacing w:line="360" w:lineRule="auto"/>
        <w:rPr>
          <w:lang w:val="el-GR"/>
        </w:rPr>
      </w:pPr>
      <w:r>
        <w:rPr>
          <w:szCs w:val="22"/>
          <w:lang w:val="el-GR"/>
        </w:rPr>
        <w:t>Γ</w:t>
      </w:r>
      <w:r w:rsidRPr="00393AE5">
        <w:rPr>
          <w:szCs w:val="22"/>
          <w:lang w:val="el-GR"/>
        </w:rPr>
        <w:t xml:space="preserve">ενικό </w:t>
      </w:r>
      <w:r>
        <w:rPr>
          <w:szCs w:val="22"/>
          <w:lang w:val="el-GR"/>
        </w:rPr>
        <w:t>Ε</w:t>
      </w:r>
      <w:r w:rsidRPr="00393AE5">
        <w:rPr>
          <w:szCs w:val="22"/>
          <w:lang w:val="el-GR"/>
        </w:rPr>
        <w:t xml:space="preserve">τήσιο </w:t>
      </w:r>
      <w:r w:rsidR="00D41FD6" w:rsidRPr="00393AE5">
        <w:rPr>
          <w:szCs w:val="22"/>
          <w:lang w:val="el-GR"/>
        </w:rPr>
        <w:t>κύκλο εργασιών για τα ακόλουθα έτη:</w:t>
      </w:r>
    </w:p>
    <w:p w14:paraId="20394A6B" w14:textId="77777777" w:rsidR="00D41FD6" w:rsidRPr="00E7175F" w:rsidRDefault="00D41FD6" w:rsidP="006B41C2">
      <w:pPr>
        <w:numPr>
          <w:ilvl w:val="0"/>
          <w:numId w:val="6"/>
        </w:numPr>
        <w:spacing w:line="360" w:lineRule="auto"/>
        <w:rPr>
          <w:lang w:val="el-GR"/>
        </w:rPr>
      </w:pPr>
      <w:r>
        <w:rPr>
          <w:szCs w:val="22"/>
          <w:lang w:val="el-GR"/>
        </w:rPr>
        <w:t>έτος (</w:t>
      </w:r>
      <w:r w:rsidR="007E3115">
        <w:rPr>
          <w:szCs w:val="22"/>
          <w:lang w:val="el-GR"/>
        </w:rPr>
        <w:t>2017</w:t>
      </w:r>
      <w:r>
        <w:rPr>
          <w:szCs w:val="22"/>
          <w:lang w:val="el-GR"/>
        </w:rPr>
        <w:t xml:space="preserve">) κύκλος εργασιών </w:t>
      </w:r>
      <w:r w:rsidR="00393AE5">
        <w:rPr>
          <w:szCs w:val="22"/>
          <w:lang w:val="el-GR"/>
        </w:rPr>
        <w:t xml:space="preserve">Δέκα Χιλιάδων </w:t>
      </w:r>
      <w:r>
        <w:rPr>
          <w:szCs w:val="22"/>
          <w:lang w:val="el-GR"/>
        </w:rPr>
        <w:t>(</w:t>
      </w:r>
      <w:r w:rsidR="00FD4593">
        <w:rPr>
          <w:szCs w:val="22"/>
          <w:lang w:val="el-GR"/>
        </w:rPr>
        <w:t>1</w:t>
      </w:r>
      <w:r w:rsidR="00E7175F">
        <w:rPr>
          <w:szCs w:val="22"/>
          <w:lang w:val="el-GR"/>
        </w:rPr>
        <w:t>0.000</w:t>
      </w:r>
      <w:r>
        <w:rPr>
          <w:szCs w:val="22"/>
          <w:lang w:val="el-GR"/>
        </w:rPr>
        <w:t xml:space="preserve">) </w:t>
      </w:r>
      <w:r w:rsidR="00E7175F">
        <w:rPr>
          <w:szCs w:val="22"/>
          <w:lang w:val="el-GR"/>
        </w:rPr>
        <w:t>Ευρώ</w:t>
      </w:r>
    </w:p>
    <w:p w14:paraId="50E8A9BC" w14:textId="77777777" w:rsidR="00D41FD6" w:rsidRPr="00E7175F" w:rsidRDefault="00D41FD6" w:rsidP="006B41C2">
      <w:pPr>
        <w:numPr>
          <w:ilvl w:val="0"/>
          <w:numId w:val="6"/>
        </w:numPr>
        <w:spacing w:line="360" w:lineRule="auto"/>
        <w:rPr>
          <w:lang w:val="el-GR"/>
        </w:rPr>
      </w:pPr>
      <w:r>
        <w:rPr>
          <w:szCs w:val="22"/>
          <w:lang w:val="el-GR"/>
        </w:rPr>
        <w:t>έτος (</w:t>
      </w:r>
      <w:r w:rsidR="007E3115">
        <w:rPr>
          <w:szCs w:val="22"/>
          <w:lang w:val="el-GR"/>
        </w:rPr>
        <w:t>2018</w:t>
      </w:r>
      <w:r>
        <w:rPr>
          <w:szCs w:val="22"/>
          <w:lang w:val="el-GR"/>
        </w:rPr>
        <w:t xml:space="preserve">) κύκλος εργασιών </w:t>
      </w:r>
      <w:r w:rsidR="00393AE5">
        <w:rPr>
          <w:szCs w:val="22"/>
          <w:lang w:val="el-GR"/>
        </w:rPr>
        <w:t>Δέκα Χ</w:t>
      </w:r>
      <w:r w:rsidR="00393AE5" w:rsidRPr="00E7175F">
        <w:rPr>
          <w:szCs w:val="22"/>
          <w:lang w:val="el-GR"/>
        </w:rPr>
        <w:t xml:space="preserve">ιλιάδων </w:t>
      </w:r>
      <w:r w:rsidR="00E7175F" w:rsidRPr="00E7175F">
        <w:rPr>
          <w:szCs w:val="22"/>
          <w:lang w:val="el-GR"/>
        </w:rPr>
        <w:t>(</w:t>
      </w:r>
      <w:r w:rsidR="00FD4593">
        <w:rPr>
          <w:szCs w:val="22"/>
          <w:lang w:val="el-GR"/>
        </w:rPr>
        <w:t>1</w:t>
      </w:r>
      <w:r w:rsidR="00E7175F" w:rsidRPr="00E7175F">
        <w:rPr>
          <w:szCs w:val="22"/>
          <w:lang w:val="el-GR"/>
        </w:rPr>
        <w:t>0.000) Ευρώ</w:t>
      </w:r>
    </w:p>
    <w:p w14:paraId="08C47A5A" w14:textId="77777777" w:rsidR="00D41FD6" w:rsidRPr="00E7175F" w:rsidRDefault="00D41FD6" w:rsidP="006B41C2">
      <w:pPr>
        <w:numPr>
          <w:ilvl w:val="0"/>
          <w:numId w:val="6"/>
        </w:numPr>
        <w:spacing w:line="360" w:lineRule="auto"/>
        <w:rPr>
          <w:lang w:val="el-GR"/>
        </w:rPr>
      </w:pPr>
      <w:r>
        <w:rPr>
          <w:szCs w:val="22"/>
          <w:lang w:val="el-GR"/>
        </w:rPr>
        <w:t>έτος (</w:t>
      </w:r>
      <w:r w:rsidR="007E3115">
        <w:rPr>
          <w:szCs w:val="22"/>
          <w:lang w:val="el-GR"/>
        </w:rPr>
        <w:t>2019</w:t>
      </w:r>
      <w:r>
        <w:rPr>
          <w:szCs w:val="22"/>
          <w:lang w:val="el-GR"/>
        </w:rPr>
        <w:t xml:space="preserve">) κύκλος εργασιών </w:t>
      </w:r>
      <w:r w:rsidR="00393AE5">
        <w:rPr>
          <w:szCs w:val="22"/>
          <w:lang w:val="el-GR"/>
        </w:rPr>
        <w:t>Δέκα</w:t>
      </w:r>
      <w:r w:rsidR="00393AE5" w:rsidRPr="00E7175F">
        <w:rPr>
          <w:szCs w:val="22"/>
          <w:lang w:val="el-GR"/>
        </w:rPr>
        <w:t xml:space="preserve"> </w:t>
      </w:r>
      <w:r w:rsidR="00393AE5">
        <w:rPr>
          <w:szCs w:val="22"/>
          <w:lang w:val="el-GR"/>
        </w:rPr>
        <w:t>Χ</w:t>
      </w:r>
      <w:r w:rsidR="00E7175F" w:rsidRPr="00E7175F">
        <w:rPr>
          <w:szCs w:val="22"/>
          <w:lang w:val="el-GR"/>
        </w:rPr>
        <w:t>ιλιάδων (</w:t>
      </w:r>
      <w:r w:rsidR="00FD4593">
        <w:rPr>
          <w:szCs w:val="22"/>
          <w:lang w:val="el-GR"/>
        </w:rPr>
        <w:t>1</w:t>
      </w:r>
      <w:r w:rsidR="00E7175F" w:rsidRPr="00E7175F">
        <w:rPr>
          <w:szCs w:val="22"/>
          <w:lang w:val="el-GR"/>
        </w:rPr>
        <w:t>0.000) Ευρώ</w:t>
      </w:r>
    </w:p>
    <w:p w14:paraId="74967521" w14:textId="77777777" w:rsidR="00D41FD6" w:rsidRPr="00C229F3" w:rsidRDefault="00D41FD6" w:rsidP="006B41C2">
      <w:pPr>
        <w:pStyle w:val="Heading3"/>
        <w:spacing w:line="360" w:lineRule="auto"/>
        <w:rPr>
          <w:lang w:val="el-GR"/>
        </w:rPr>
      </w:pPr>
      <w:bookmarkStart w:id="19" w:name="_Toc13748913"/>
      <w:r>
        <w:rPr>
          <w:rFonts w:ascii="Calibri" w:hAnsi="Calibri"/>
          <w:lang w:val="el-GR"/>
        </w:rPr>
        <w:lastRenderedPageBreak/>
        <w:t>2.2.</w:t>
      </w:r>
      <w:r w:rsidR="0030235A">
        <w:rPr>
          <w:rFonts w:ascii="Calibri" w:hAnsi="Calibri"/>
          <w:lang w:val="el-GR"/>
        </w:rPr>
        <w:t>3.3</w:t>
      </w:r>
      <w:r>
        <w:rPr>
          <w:rFonts w:ascii="Calibri" w:hAnsi="Calibri"/>
          <w:lang w:val="el-GR"/>
        </w:rPr>
        <w:tab/>
        <w:t xml:space="preserve">Τεχνική και </w:t>
      </w:r>
      <w:r w:rsidR="0030235A">
        <w:rPr>
          <w:rFonts w:ascii="Calibri" w:hAnsi="Calibri"/>
          <w:lang w:val="el-GR"/>
        </w:rPr>
        <w:t xml:space="preserve">Επαγγελματική </w:t>
      </w:r>
      <w:bookmarkEnd w:id="19"/>
      <w:r w:rsidR="0030235A">
        <w:rPr>
          <w:rFonts w:ascii="Calibri" w:hAnsi="Calibri"/>
          <w:lang w:val="el-GR"/>
        </w:rPr>
        <w:t xml:space="preserve">Ικανότητα </w:t>
      </w:r>
    </w:p>
    <w:p w14:paraId="4B187A29" w14:textId="77777777" w:rsidR="00D41FD6" w:rsidRPr="00C229F3" w:rsidRDefault="00D41FD6" w:rsidP="006B41C2">
      <w:pPr>
        <w:spacing w:line="360" w:lineRule="auto"/>
        <w:rPr>
          <w:lang w:val="el-GR"/>
        </w:rPr>
      </w:pPr>
      <w:r>
        <w:rPr>
          <w:lang w:val="el-GR"/>
        </w:rPr>
        <w:t xml:space="preserve">Όσον αφορά στην τεχνική και επαγγελματική ικανότητα για την παρούσα διαδικασία σύναψης σύμβασης, οι </w:t>
      </w:r>
      <w:r w:rsidR="00FF035E">
        <w:rPr>
          <w:lang w:val="el-GR"/>
        </w:rPr>
        <w:t xml:space="preserve">Οικονομικοί Φορείς </w:t>
      </w:r>
      <w:r>
        <w:rPr>
          <w:szCs w:val="22"/>
          <w:lang w:val="el-GR"/>
        </w:rPr>
        <w:t>απαιτείται</w:t>
      </w:r>
      <w:r w:rsidR="007E3115">
        <w:rPr>
          <w:szCs w:val="22"/>
          <w:lang w:val="el-GR"/>
        </w:rPr>
        <w:t>:</w:t>
      </w:r>
      <w:r>
        <w:rPr>
          <w:szCs w:val="22"/>
          <w:lang w:val="el-GR"/>
        </w:rPr>
        <w:t xml:space="preserve"> </w:t>
      </w:r>
    </w:p>
    <w:p w14:paraId="05134473" w14:textId="77777777" w:rsidR="00BD0134" w:rsidRDefault="00D41FD6" w:rsidP="006B41C2">
      <w:pPr>
        <w:spacing w:line="360" w:lineRule="auto"/>
        <w:rPr>
          <w:bCs/>
          <w:szCs w:val="22"/>
          <w:lang w:val="el-GR"/>
        </w:rPr>
      </w:pPr>
      <w:r>
        <w:rPr>
          <w:b/>
          <w:bCs/>
          <w:szCs w:val="22"/>
          <w:lang w:val="el-GR"/>
        </w:rPr>
        <w:t>α)</w:t>
      </w:r>
      <w:r>
        <w:rPr>
          <w:bCs/>
          <w:szCs w:val="22"/>
          <w:lang w:val="el-GR"/>
        </w:rPr>
        <w:t xml:space="preserve"> κατά τη διάρκεια</w:t>
      </w:r>
      <w:r w:rsidR="00625305">
        <w:rPr>
          <w:bCs/>
          <w:szCs w:val="22"/>
          <w:lang w:val="el-GR"/>
        </w:rPr>
        <w:t xml:space="preserve"> των ετών 2017</w:t>
      </w:r>
      <w:r w:rsidR="00C432C8">
        <w:rPr>
          <w:bCs/>
          <w:szCs w:val="22"/>
          <w:lang w:val="el-GR"/>
        </w:rPr>
        <w:t>,</w:t>
      </w:r>
      <w:r>
        <w:rPr>
          <w:bCs/>
          <w:szCs w:val="22"/>
          <w:vertAlign w:val="superscript"/>
          <w:lang w:val="el-GR"/>
        </w:rPr>
        <w:t xml:space="preserve"> </w:t>
      </w:r>
      <w:r>
        <w:rPr>
          <w:bCs/>
          <w:szCs w:val="22"/>
          <w:lang w:val="el-GR"/>
        </w:rPr>
        <w:t xml:space="preserve"> </w:t>
      </w:r>
      <w:r w:rsidR="00625305">
        <w:rPr>
          <w:bCs/>
          <w:szCs w:val="22"/>
          <w:lang w:val="el-GR"/>
        </w:rPr>
        <w:t xml:space="preserve">2018 και 2019 </w:t>
      </w:r>
      <w:r>
        <w:rPr>
          <w:bCs/>
          <w:szCs w:val="22"/>
          <w:lang w:val="el-GR"/>
        </w:rPr>
        <w:t xml:space="preserve">να έχουν εκτελέσει </w:t>
      </w:r>
      <w:r w:rsidR="001235E1">
        <w:rPr>
          <w:bCs/>
          <w:szCs w:val="22"/>
          <w:lang w:val="el-GR"/>
        </w:rPr>
        <w:t xml:space="preserve">τουλάχιστον τρεις συμβάσεις </w:t>
      </w:r>
      <w:r w:rsidR="00FD4593">
        <w:rPr>
          <w:bCs/>
          <w:szCs w:val="22"/>
          <w:lang w:val="el-GR"/>
        </w:rPr>
        <w:t xml:space="preserve">παροχής συμβουλών </w:t>
      </w:r>
      <w:r w:rsidR="001235E1">
        <w:rPr>
          <w:bCs/>
          <w:szCs w:val="22"/>
          <w:lang w:val="el-GR"/>
        </w:rPr>
        <w:t xml:space="preserve">ασφαλιστικής κάλυψης </w:t>
      </w:r>
      <w:r w:rsidR="00FD4593">
        <w:rPr>
          <w:bCs/>
          <w:szCs w:val="22"/>
          <w:lang w:val="el-GR"/>
        </w:rPr>
        <w:t xml:space="preserve">ή συμβάσεις ασφαλιστικής κάλυψης </w:t>
      </w:r>
      <w:r w:rsidR="001235E1">
        <w:rPr>
          <w:bCs/>
          <w:szCs w:val="22"/>
          <w:lang w:val="el-GR"/>
        </w:rPr>
        <w:t xml:space="preserve">κατά τη συνολική αυτή περίοδο με αντικείμενο καλύψεως και όριο ασφαλιστικής καλύψεως τουλάχιστον τρείς από τις ζητούμενες πέντε ασφαλιστικές καλύψεις σε μία ή περισσότερες ασφαλιστικές πολιτικές. </w:t>
      </w:r>
    </w:p>
    <w:p w14:paraId="4F35A32D" w14:textId="77777777" w:rsidR="00D41FD6" w:rsidRDefault="00BD0134" w:rsidP="006B41C2">
      <w:pPr>
        <w:spacing w:line="360" w:lineRule="auto"/>
        <w:rPr>
          <w:bCs/>
          <w:szCs w:val="22"/>
          <w:lang w:val="el-GR"/>
        </w:rPr>
      </w:pPr>
      <w:r w:rsidRPr="00BD0134">
        <w:rPr>
          <w:b/>
          <w:szCs w:val="22"/>
          <w:lang w:val="el-GR"/>
        </w:rPr>
        <w:t>β)</w:t>
      </w:r>
      <w:r>
        <w:rPr>
          <w:bCs/>
          <w:szCs w:val="22"/>
          <w:lang w:val="el-GR"/>
        </w:rPr>
        <w:t xml:space="preserve"> </w:t>
      </w:r>
      <w:r w:rsidRPr="00BD0134">
        <w:rPr>
          <w:bCs/>
          <w:szCs w:val="22"/>
          <w:lang w:val="el-GR"/>
        </w:rPr>
        <w:t xml:space="preserve">Δυνατότητα διάθεσης εξειδικευμένου προσωπικού ανά κλάδο ασφάλισης, το οποίο θα αποδεικνύεται βάσει βιογραφικού και / ή προϋπηρεσίας. Κατ’ ελάχιστον ο επικεφαλής ή συνεργαζόμενος του Ανάδοχου, θα διαθέτει αποδεδειγμένη εμπειρία, τουλάχιστον πέντε (5) ετών στο </w:t>
      </w:r>
      <w:proofErr w:type="spellStart"/>
      <w:r w:rsidRPr="00BD0134">
        <w:rPr>
          <w:bCs/>
          <w:szCs w:val="22"/>
          <w:lang w:val="el-GR"/>
        </w:rPr>
        <w:t>underwriting</w:t>
      </w:r>
      <w:proofErr w:type="spellEnd"/>
      <w:r w:rsidRPr="00BD0134">
        <w:rPr>
          <w:bCs/>
          <w:szCs w:val="22"/>
          <w:lang w:val="el-GR"/>
        </w:rPr>
        <w:t xml:space="preserve"> σε έναν ή περισσότερους κλάδους.</w:t>
      </w:r>
      <w:r w:rsidR="001235E1">
        <w:rPr>
          <w:bCs/>
          <w:szCs w:val="22"/>
          <w:lang w:val="el-GR"/>
        </w:rPr>
        <w:t xml:space="preserve"> </w:t>
      </w:r>
    </w:p>
    <w:p w14:paraId="57C1E66A" w14:textId="63D5925E" w:rsidR="00BD0134" w:rsidRDefault="00BD0134" w:rsidP="006B41C2">
      <w:pPr>
        <w:spacing w:line="360" w:lineRule="auto"/>
        <w:rPr>
          <w:bCs/>
          <w:szCs w:val="22"/>
          <w:lang w:val="el-GR"/>
        </w:rPr>
      </w:pPr>
      <w:r w:rsidRPr="006F5255">
        <w:rPr>
          <w:b/>
          <w:bCs/>
          <w:szCs w:val="22"/>
          <w:lang w:val="el-GR"/>
        </w:rPr>
        <w:t>γ)</w:t>
      </w:r>
      <w:r>
        <w:rPr>
          <w:bCs/>
          <w:szCs w:val="22"/>
          <w:lang w:val="el-GR"/>
        </w:rPr>
        <w:t xml:space="preserve"> Πιστοποίηση </w:t>
      </w:r>
      <w:r w:rsidRPr="00BD0134">
        <w:rPr>
          <w:bCs/>
          <w:szCs w:val="22"/>
          <w:lang w:val="el-GR"/>
        </w:rPr>
        <w:t>ISO 9001-2008</w:t>
      </w:r>
    </w:p>
    <w:p w14:paraId="135D07C7" w14:textId="77777777" w:rsidR="00737EE1" w:rsidRPr="00C229F3" w:rsidRDefault="00737EE1" w:rsidP="006B41C2">
      <w:pPr>
        <w:spacing w:line="360" w:lineRule="auto"/>
        <w:rPr>
          <w:lang w:val="el-GR"/>
        </w:rPr>
      </w:pPr>
    </w:p>
    <w:p w14:paraId="44B14E05" w14:textId="77777777" w:rsidR="00D41FD6" w:rsidRPr="00C229F3" w:rsidRDefault="00D41FD6" w:rsidP="006B41C2">
      <w:pPr>
        <w:pStyle w:val="Heading2"/>
        <w:spacing w:line="360" w:lineRule="auto"/>
        <w:rPr>
          <w:lang w:val="el-GR"/>
        </w:rPr>
      </w:pPr>
      <w:bookmarkStart w:id="20" w:name="_Toc13748919"/>
      <w:r>
        <w:rPr>
          <w:rFonts w:ascii="Calibri" w:hAnsi="Calibri"/>
          <w:lang w:val="el-GR"/>
        </w:rPr>
        <w:t>2.3</w:t>
      </w:r>
      <w:r>
        <w:rPr>
          <w:rFonts w:ascii="Calibri" w:hAnsi="Calibri"/>
          <w:lang w:val="el-GR"/>
        </w:rPr>
        <w:tab/>
        <w:t>Κριτήρια Ανάθεσης</w:t>
      </w:r>
      <w:bookmarkEnd w:id="20"/>
    </w:p>
    <w:p w14:paraId="610AE3AA" w14:textId="77777777" w:rsidR="00D41FD6" w:rsidRPr="00C229F3" w:rsidRDefault="00D41FD6" w:rsidP="006B41C2">
      <w:pPr>
        <w:pStyle w:val="Heading3"/>
        <w:spacing w:line="360" w:lineRule="auto"/>
        <w:rPr>
          <w:lang w:val="el-GR"/>
        </w:rPr>
      </w:pPr>
      <w:bookmarkStart w:id="21" w:name="_Toc13748920"/>
      <w:r>
        <w:rPr>
          <w:rFonts w:ascii="Calibri" w:hAnsi="Calibri"/>
          <w:lang w:val="el-GR"/>
        </w:rPr>
        <w:t>2.3.1</w:t>
      </w:r>
      <w:r>
        <w:rPr>
          <w:rFonts w:ascii="Calibri" w:hAnsi="Calibri"/>
          <w:lang w:val="el-GR"/>
        </w:rPr>
        <w:tab/>
        <w:t>Κριτήριο ανάθεσης</w:t>
      </w:r>
      <w:bookmarkEnd w:id="21"/>
      <w:r>
        <w:rPr>
          <w:rFonts w:ascii="Calibri" w:hAnsi="Calibri"/>
          <w:lang w:val="el-GR"/>
        </w:rPr>
        <w:t xml:space="preserve"> </w:t>
      </w:r>
    </w:p>
    <w:p w14:paraId="79CCE664" w14:textId="77777777" w:rsidR="00D41FD6" w:rsidRDefault="00D41FD6" w:rsidP="006B41C2">
      <w:pPr>
        <w:spacing w:line="360" w:lineRule="auto"/>
        <w:rPr>
          <w:lang w:val="el-GR"/>
        </w:rPr>
      </w:pPr>
      <w:r>
        <w:rPr>
          <w:lang w:val="el-GR"/>
        </w:rPr>
        <w:t>Κριτήριο ανάθεσης της Σύμβασης είναι η πλέον συμφέρουσα από οικονομική άποψη προσφορά</w:t>
      </w:r>
      <w:r w:rsidR="001C07AC">
        <w:rPr>
          <w:lang w:val="el-GR"/>
        </w:rPr>
        <w:t xml:space="preserve"> </w:t>
      </w:r>
      <w:r>
        <w:rPr>
          <w:lang w:val="el-GR"/>
        </w:rPr>
        <w:t xml:space="preserve">βάσει </w:t>
      </w:r>
      <w:r w:rsidR="001C07AC">
        <w:rPr>
          <w:lang w:val="el-GR"/>
        </w:rPr>
        <w:t>τιμής.</w:t>
      </w:r>
    </w:p>
    <w:p w14:paraId="44AF9146" w14:textId="77777777" w:rsidR="00D41FD6" w:rsidRPr="00C229F3" w:rsidRDefault="00D41FD6" w:rsidP="006B41C2">
      <w:pPr>
        <w:pStyle w:val="Heading2"/>
        <w:spacing w:line="360" w:lineRule="auto"/>
        <w:rPr>
          <w:lang w:val="el-GR"/>
        </w:rPr>
      </w:pPr>
      <w:bookmarkStart w:id="22" w:name="_Toc13748923"/>
      <w:r>
        <w:rPr>
          <w:rFonts w:ascii="Calibri" w:hAnsi="Calibri"/>
          <w:lang w:val="el-GR"/>
        </w:rPr>
        <w:t>2.4</w:t>
      </w:r>
      <w:r>
        <w:rPr>
          <w:rFonts w:ascii="Calibri" w:hAnsi="Calibri"/>
          <w:lang w:val="el-GR"/>
        </w:rPr>
        <w:tab/>
        <w:t>Κατάρτιση - Περιεχόμενο Προσφορών</w:t>
      </w:r>
      <w:bookmarkEnd w:id="22"/>
    </w:p>
    <w:p w14:paraId="1E650984" w14:textId="77777777" w:rsidR="00D41FD6" w:rsidRPr="00C229F3" w:rsidRDefault="00D41FD6" w:rsidP="006B41C2">
      <w:pPr>
        <w:pStyle w:val="Heading3"/>
        <w:spacing w:line="360" w:lineRule="auto"/>
        <w:rPr>
          <w:lang w:val="el-GR"/>
        </w:rPr>
      </w:pPr>
      <w:bookmarkStart w:id="23" w:name="_Toc13748924"/>
      <w:r>
        <w:rPr>
          <w:rFonts w:ascii="Calibri" w:hAnsi="Calibri"/>
          <w:lang w:val="el-GR"/>
        </w:rPr>
        <w:t>2.4.1</w:t>
      </w:r>
      <w:r>
        <w:rPr>
          <w:rFonts w:ascii="Calibri" w:hAnsi="Calibri"/>
          <w:lang w:val="el-GR"/>
        </w:rPr>
        <w:tab/>
        <w:t>Γενικοί όροι υποβολής προσφορών</w:t>
      </w:r>
      <w:bookmarkEnd w:id="23"/>
    </w:p>
    <w:p w14:paraId="252AD3B0" w14:textId="70339EC8" w:rsidR="00D41FD6" w:rsidRPr="00C229F3" w:rsidRDefault="00D41FD6" w:rsidP="006B41C2">
      <w:pPr>
        <w:spacing w:line="360" w:lineRule="auto"/>
        <w:rPr>
          <w:lang w:val="el-GR"/>
        </w:rPr>
      </w:pPr>
      <w:r>
        <w:rPr>
          <w:lang w:val="el-GR"/>
        </w:rPr>
        <w:t xml:space="preserve">Οι προσφορές υποβάλλονται με βάση τις απαιτήσεις που ορίζονται </w:t>
      </w:r>
      <w:r w:rsidR="00C01739">
        <w:rPr>
          <w:lang w:val="el-GR"/>
        </w:rPr>
        <w:t xml:space="preserve">στα έγγραφα της </w:t>
      </w:r>
      <w:r w:rsidR="00485C4D">
        <w:rPr>
          <w:lang w:val="el-GR"/>
        </w:rPr>
        <w:t>παρούσας Πρόσκλησης Εκδήλωσης Ενδιαφέροντος</w:t>
      </w:r>
      <w:r w:rsidR="00FD4218">
        <w:rPr>
          <w:lang w:val="el-GR"/>
        </w:rPr>
        <w:t xml:space="preserve"> για Υποβολή Προσφορών</w:t>
      </w:r>
      <w:r w:rsidR="00485C4D">
        <w:rPr>
          <w:lang w:val="el-GR"/>
        </w:rPr>
        <w:t xml:space="preserve"> </w:t>
      </w:r>
      <w:r>
        <w:rPr>
          <w:lang w:val="el-GR"/>
        </w:rPr>
        <w:t>για όλες τις περιγραφόμενες υπηρεσίες</w:t>
      </w:r>
      <w:r w:rsidR="00A8385A">
        <w:rPr>
          <w:lang w:val="el-GR"/>
        </w:rPr>
        <w:t>.</w:t>
      </w:r>
    </w:p>
    <w:p w14:paraId="7707CC65" w14:textId="77777777" w:rsidR="00D41FD6" w:rsidRPr="00C229F3" w:rsidRDefault="00D41FD6" w:rsidP="006B41C2">
      <w:pPr>
        <w:spacing w:line="360" w:lineRule="auto"/>
        <w:rPr>
          <w:lang w:val="el-GR"/>
        </w:rPr>
      </w:pPr>
      <w:r>
        <w:rPr>
          <w:lang w:val="el-GR"/>
        </w:rPr>
        <w:t>Δεν επιτρέπονται εναλλακτικές προσφορές</w:t>
      </w:r>
      <w:r w:rsidR="00C521E0">
        <w:rPr>
          <w:lang w:val="el-GR"/>
        </w:rPr>
        <w:t>.</w:t>
      </w:r>
    </w:p>
    <w:p w14:paraId="01392725" w14:textId="77777777" w:rsidR="00D41FD6" w:rsidRPr="00C229F3" w:rsidRDefault="00D41FD6" w:rsidP="006B41C2">
      <w:pPr>
        <w:spacing w:line="360" w:lineRule="auto"/>
        <w:rPr>
          <w:lang w:val="el-GR"/>
        </w:rPr>
      </w:pPr>
      <w:r>
        <w:rPr>
          <w:rFonts w:cs="Helvetica"/>
          <w:color w:val="000000"/>
          <w:szCs w:val="22"/>
          <w:lang w:val="el-GR" w:eastAsia="el-GR"/>
        </w:rPr>
        <w:t xml:space="preserve">Η </w:t>
      </w:r>
      <w:r w:rsidR="00E07BBB">
        <w:rPr>
          <w:rFonts w:cs="Helvetica"/>
          <w:color w:val="000000"/>
          <w:szCs w:val="22"/>
          <w:lang w:val="el-GR" w:eastAsia="el-GR"/>
        </w:rPr>
        <w:t xml:space="preserve">Ένωση Οικονομικών Φορέων </w:t>
      </w:r>
      <w:r>
        <w:rPr>
          <w:rFonts w:cs="Helvetica"/>
          <w:color w:val="000000"/>
          <w:szCs w:val="22"/>
          <w:lang w:val="el-GR" w:eastAsia="el-GR"/>
        </w:rPr>
        <w:t xml:space="preserve">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E07BBB">
        <w:rPr>
          <w:rFonts w:cs="Helvetica"/>
          <w:color w:val="000000"/>
          <w:szCs w:val="22"/>
          <w:lang w:val="el-GR" w:eastAsia="el-GR"/>
        </w:rPr>
        <w:t xml:space="preserve">Οικονομικούς Φορείς </w:t>
      </w:r>
      <w:r>
        <w:rPr>
          <w:rFonts w:cs="Helvetica"/>
          <w:color w:val="000000"/>
          <w:szCs w:val="22"/>
          <w:lang w:val="el-GR" w:eastAsia="el-GR"/>
        </w:rPr>
        <w:t>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89F7203" w14:textId="77777777" w:rsidR="00D41FD6" w:rsidRPr="00C229F3" w:rsidRDefault="00D41FD6" w:rsidP="006B41C2">
      <w:pPr>
        <w:pStyle w:val="Heading3"/>
        <w:spacing w:line="360" w:lineRule="auto"/>
        <w:rPr>
          <w:lang w:val="el-GR"/>
        </w:rPr>
      </w:pPr>
      <w:bookmarkStart w:id="24" w:name="_Toc13748925"/>
      <w:r>
        <w:rPr>
          <w:rFonts w:ascii="Calibri" w:hAnsi="Calibri"/>
          <w:lang w:val="el-GR"/>
        </w:rPr>
        <w:t>2.4.2</w:t>
      </w:r>
      <w:r>
        <w:rPr>
          <w:rFonts w:ascii="Calibri" w:hAnsi="Calibri"/>
          <w:lang w:val="el-GR"/>
        </w:rPr>
        <w:tab/>
        <w:t>Χρόνος και Τρόπος υποβολής προσφορών</w:t>
      </w:r>
      <w:bookmarkEnd w:id="24"/>
      <w:r>
        <w:rPr>
          <w:rFonts w:ascii="Calibri" w:hAnsi="Calibri"/>
          <w:lang w:val="el-GR"/>
        </w:rPr>
        <w:t xml:space="preserve"> </w:t>
      </w:r>
    </w:p>
    <w:p w14:paraId="67E5A013" w14:textId="77777777" w:rsidR="00C23C4F" w:rsidRPr="00C23C4F" w:rsidRDefault="00D41FD6" w:rsidP="006B41C2">
      <w:pPr>
        <w:spacing w:line="360" w:lineRule="auto"/>
        <w:rPr>
          <w:b/>
          <w:lang w:val="el-GR"/>
        </w:rPr>
      </w:pPr>
      <w:r>
        <w:rPr>
          <w:rFonts w:cs="Arial"/>
          <w:b/>
          <w:bCs/>
          <w:lang w:val="el-GR"/>
        </w:rPr>
        <w:t>2.4.2.1.</w:t>
      </w:r>
      <w:r>
        <w:rPr>
          <w:b/>
          <w:bCs/>
          <w:lang w:val="el-GR"/>
        </w:rPr>
        <w:t xml:space="preserve"> </w:t>
      </w:r>
      <w:bookmarkStart w:id="25" w:name="_Toc13748926"/>
      <w:r w:rsidR="00C23C4F" w:rsidRPr="00C23C4F">
        <w:rPr>
          <w:lang w:val="el-GR"/>
        </w:rPr>
        <w:t xml:space="preserve">ΠΡΟΣΦΟΡΑ: </w:t>
      </w:r>
      <w:r w:rsidR="004F141D">
        <w:rPr>
          <w:lang w:val="el-GR"/>
        </w:rPr>
        <w:t>Οι ε</w:t>
      </w:r>
      <w:r w:rsidR="00C23C4F" w:rsidRPr="00C23C4F">
        <w:rPr>
          <w:lang w:val="el-GR"/>
        </w:rPr>
        <w:t>νδιαφερόμενοι μπορούν να αποστείλουν σχετική έγγραφη προσφορά νομίμως υπογεγραμμένη από τον ενδιαφερόμενο</w:t>
      </w:r>
      <w:r w:rsidR="00C23C4F" w:rsidRPr="00C23C4F">
        <w:rPr>
          <w:b/>
          <w:lang w:val="el-GR"/>
        </w:rPr>
        <w:t xml:space="preserve">. </w:t>
      </w:r>
    </w:p>
    <w:p w14:paraId="6F3AED13" w14:textId="77777777" w:rsidR="00C23C4F" w:rsidRPr="00C23C4F" w:rsidRDefault="00C23C4F" w:rsidP="006B41C2">
      <w:pPr>
        <w:spacing w:line="360" w:lineRule="auto"/>
        <w:rPr>
          <w:lang w:val="el-GR"/>
        </w:rPr>
      </w:pPr>
      <w:r w:rsidRPr="00C23C4F">
        <w:rPr>
          <w:lang w:val="el-GR"/>
        </w:rPr>
        <w:lastRenderedPageBreak/>
        <w:t xml:space="preserve">Οι προσφορές πρέπει να υποβληθούν μέσα σε ενιαίο σφραγισμένο φάκελο, σε δύο (2) αντίγραφα. Σε ένα από τα δύο αντίγραφα και σε κάθε σελίδα αυτού, που θα είναι </w:t>
      </w:r>
      <w:proofErr w:type="spellStart"/>
      <w:r w:rsidRPr="00FE1C02">
        <w:rPr>
          <w:u w:val="single"/>
          <w:lang w:val="el-GR"/>
        </w:rPr>
        <w:t>μονογραμμένη</w:t>
      </w:r>
      <w:proofErr w:type="spellEnd"/>
      <w:r w:rsidRPr="00C23C4F">
        <w:rPr>
          <w:lang w:val="el-GR"/>
        </w:rPr>
        <w:t xml:space="preserve">, θα γράφεται η λέξη </w:t>
      </w:r>
      <w:r w:rsidR="00FE1C02">
        <w:rPr>
          <w:lang w:val="el-GR"/>
        </w:rPr>
        <w:t>«</w:t>
      </w:r>
      <w:r w:rsidRPr="00C23C4F">
        <w:rPr>
          <w:lang w:val="el-GR"/>
        </w:rPr>
        <w:t>ΠΡΩΤΟΤΥΠΟ</w:t>
      </w:r>
      <w:r w:rsidR="00FE1C02">
        <w:rPr>
          <w:lang w:val="el-GR"/>
        </w:rPr>
        <w:t>»</w:t>
      </w:r>
      <w:r w:rsidR="00FE1C02" w:rsidRPr="00C23C4F">
        <w:rPr>
          <w:lang w:val="el-GR"/>
        </w:rPr>
        <w:t xml:space="preserve"> </w:t>
      </w:r>
      <w:r w:rsidRPr="00C23C4F">
        <w:rPr>
          <w:lang w:val="el-GR"/>
        </w:rPr>
        <w:t xml:space="preserve">και αυτό θα είναι επικρατέστερο του άλλου αντιτύπου, σε περίπτωση διαφοράς μεταξύ τους. </w:t>
      </w:r>
    </w:p>
    <w:p w14:paraId="42A5F746" w14:textId="77777777" w:rsidR="00C23C4F" w:rsidRPr="00C23C4F" w:rsidRDefault="00C23C4F" w:rsidP="006B41C2">
      <w:pPr>
        <w:spacing w:line="360" w:lineRule="auto"/>
        <w:rPr>
          <w:lang w:val="el-GR"/>
        </w:rPr>
      </w:pPr>
      <w:r w:rsidRPr="00C23C4F">
        <w:rPr>
          <w:u w:val="single"/>
          <w:lang w:val="el-GR"/>
        </w:rPr>
        <w:t>Ο ενιαίος φάκελος της προσφοράς</w:t>
      </w:r>
      <w:r w:rsidRPr="00C23C4F">
        <w:rPr>
          <w:lang w:val="el-GR"/>
        </w:rPr>
        <w:t xml:space="preserve"> πρέπει απαραίτητα να φέρει το 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 του ενδιαφερόμενου και να γράφει ευκρινώς τις ενδείξεις:</w:t>
      </w:r>
    </w:p>
    <w:p w14:paraId="740C1E8E" w14:textId="77777777" w:rsidR="00C23C4F" w:rsidRPr="00C23C4F" w:rsidRDefault="00C23C4F" w:rsidP="006B41C2">
      <w:pPr>
        <w:numPr>
          <w:ilvl w:val="0"/>
          <w:numId w:val="14"/>
        </w:numPr>
        <w:spacing w:line="360" w:lineRule="auto"/>
        <w:rPr>
          <w:lang w:val="el-GR"/>
        </w:rPr>
      </w:pPr>
      <w:r w:rsidRPr="00C23C4F">
        <w:rPr>
          <w:lang w:val="el-GR"/>
        </w:rPr>
        <w:t>ΠΡΟΣΦΟΡΑ (με κεφαλαία)</w:t>
      </w:r>
    </w:p>
    <w:p w14:paraId="0FFD1D88" w14:textId="77777777" w:rsidR="00C23C4F" w:rsidRPr="00C23C4F" w:rsidRDefault="00C23C4F" w:rsidP="006B41C2">
      <w:pPr>
        <w:numPr>
          <w:ilvl w:val="0"/>
          <w:numId w:val="14"/>
        </w:numPr>
        <w:spacing w:line="360" w:lineRule="auto"/>
        <w:rPr>
          <w:lang w:val="el-GR"/>
        </w:rPr>
      </w:pPr>
      <w:r w:rsidRPr="00C23C4F">
        <w:rPr>
          <w:lang w:val="el-GR"/>
        </w:rPr>
        <w:t>Για την Ανώνυμο Εταιρεία Διώρυγας Κορίνθου (Α</w:t>
      </w:r>
      <w:r w:rsidR="004959F8">
        <w:rPr>
          <w:lang w:val="el-GR"/>
        </w:rPr>
        <w:t>.</w:t>
      </w:r>
      <w:r w:rsidRPr="00C23C4F">
        <w:rPr>
          <w:lang w:val="el-GR"/>
        </w:rPr>
        <w:t>Ε</w:t>
      </w:r>
      <w:r w:rsidR="004959F8">
        <w:rPr>
          <w:lang w:val="el-GR"/>
        </w:rPr>
        <w:t>.</w:t>
      </w:r>
      <w:r w:rsidRPr="00C23C4F">
        <w:rPr>
          <w:lang w:val="el-GR"/>
        </w:rPr>
        <w:t>ΔΙ</w:t>
      </w:r>
      <w:r w:rsidR="004959F8">
        <w:rPr>
          <w:lang w:val="el-GR"/>
        </w:rPr>
        <w:t>.</w:t>
      </w:r>
      <w:r w:rsidRPr="00C23C4F">
        <w:rPr>
          <w:lang w:val="el-GR"/>
        </w:rPr>
        <w:t>Κ</w:t>
      </w:r>
      <w:r w:rsidR="004959F8">
        <w:rPr>
          <w:lang w:val="el-GR"/>
        </w:rPr>
        <w:t>.</w:t>
      </w:r>
      <w:r w:rsidRPr="00C23C4F">
        <w:rPr>
          <w:lang w:val="el-GR"/>
        </w:rPr>
        <w:t>)</w:t>
      </w:r>
    </w:p>
    <w:p w14:paraId="7C62AC44" w14:textId="77777777" w:rsidR="00C23C4F" w:rsidRPr="00C23C4F" w:rsidRDefault="00C23C4F" w:rsidP="006B41C2">
      <w:pPr>
        <w:numPr>
          <w:ilvl w:val="0"/>
          <w:numId w:val="14"/>
        </w:numPr>
        <w:spacing w:line="360" w:lineRule="auto"/>
        <w:rPr>
          <w:i/>
          <w:lang w:val="el-GR"/>
        </w:rPr>
      </w:pPr>
      <w:r w:rsidRPr="00C23C4F">
        <w:rPr>
          <w:i/>
          <w:lang w:val="el-GR"/>
        </w:rPr>
        <w:t>Τμήμα Προμηθειών</w:t>
      </w:r>
    </w:p>
    <w:p w14:paraId="70779FF1" w14:textId="62DC91AC" w:rsidR="00C23C4F" w:rsidRPr="00423EB0" w:rsidRDefault="00C23C4F" w:rsidP="00CF5670">
      <w:pPr>
        <w:numPr>
          <w:ilvl w:val="0"/>
          <w:numId w:val="14"/>
        </w:numPr>
        <w:spacing w:line="360" w:lineRule="auto"/>
        <w:rPr>
          <w:i/>
          <w:lang w:val="el-GR"/>
        </w:rPr>
      </w:pPr>
      <w:r w:rsidRPr="00CF5670">
        <w:rPr>
          <w:i/>
          <w:lang w:val="el-GR"/>
        </w:rPr>
        <w:t xml:space="preserve">Πρόσκληση </w:t>
      </w:r>
      <w:r w:rsidR="00CF5670" w:rsidRPr="00CF5670">
        <w:rPr>
          <w:i/>
          <w:lang w:val="el-GR"/>
        </w:rPr>
        <w:t xml:space="preserve">εκδήλωσης ενδιαφέροντος για την υποβολή προσφορών για τη σύναψη σύμβασης παροχής γενικών υπηρεσιών συμβούλου </w:t>
      </w:r>
      <w:r w:rsidR="00DF7B46" w:rsidRPr="00CF5670">
        <w:rPr>
          <w:i/>
          <w:lang w:val="el-GR"/>
        </w:rPr>
        <w:t>ασφάλισης</w:t>
      </w:r>
      <w:r w:rsidR="00CF5670" w:rsidRPr="00CF5670">
        <w:rPr>
          <w:i/>
          <w:lang w:val="el-GR"/>
        </w:rPr>
        <w:t xml:space="preserve"> του </w:t>
      </w:r>
      <w:r w:rsidR="00970FA6">
        <w:rPr>
          <w:i/>
          <w:lang w:val="el-GR"/>
        </w:rPr>
        <w:t>Δ</w:t>
      </w:r>
      <w:r w:rsidR="00970FA6" w:rsidRPr="00CF5670">
        <w:rPr>
          <w:i/>
          <w:lang w:val="el-GR"/>
        </w:rPr>
        <w:t>ιαύλου</w:t>
      </w:r>
      <w:r w:rsidR="00CF5670">
        <w:rPr>
          <w:i/>
          <w:lang w:val="el-GR"/>
        </w:rPr>
        <w:t xml:space="preserve"> </w:t>
      </w:r>
      <w:r w:rsidR="00CF5670" w:rsidRPr="00CF5670">
        <w:rPr>
          <w:i/>
          <w:lang w:val="el-GR"/>
        </w:rPr>
        <w:t xml:space="preserve">της </w:t>
      </w:r>
      <w:r w:rsidR="00970FA6">
        <w:rPr>
          <w:i/>
          <w:lang w:val="el-GR"/>
        </w:rPr>
        <w:t>Δ</w:t>
      </w:r>
      <w:r w:rsidR="00970FA6" w:rsidRPr="00CF5670">
        <w:rPr>
          <w:i/>
          <w:lang w:val="el-GR"/>
        </w:rPr>
        <w:t>ιώρυγας</w:t>
      </w:r>
      <w:r w:rsidR="00CF5670" w:rsidRPr="00CF5670">
        <w:rPr>
          <w:i/>
          <w:lang w:val="el-GR"/>
        </w:rPr>
        <w:t xml:space="preserve"> </w:t>
      </w:r>
      <w:r w:rsidR="00970FA6" w:rsidRPr="00CF5670">
        <w:rPr>
          <w:i/>
          <w:lang w:val="el-GR"/>
        </w:rPr>
        <w:t>Κορίνθου</w:t>
      </w:r>
      <w:r w:rsidR="00DF7B46">
        <w:rPr>
          <w:i/>
          <w:lang w:val="el-GR"/>
        </w:rPr>
        <w:br/>
      </w:r>
      <w:r w:rsidRPr="00423EB0">
        <w:rPr>
          <w:i/>
          <w:lang w:val="el-GR"/>
        </w:rPr>
        <w:t xml:space="preserve">ΑΡ. ΠΡΩΤ. </w:t>
      </w:r>
      <w:r w:rsidR="00FE3450">
        <w:rPr>
          <w:i/>
          <w:lang w:val="el-GR"/>
        </w:rPr>
        <w:t>573 ΕΞ./27-04-20</w:t>
      </w:r>
    </w:p>
    <w:p w14:paraId="383FC87A" w14:textId="448BC770" w:rsidR="00C23C4F" w:rsidRDefault="00C23C4F" w:rsidP="006B41C2">
      <w:pPr>
        <w:numPr>
          <w:ilvl w:val="0"/>
          <w:numId w:val="15"/>
        </w:numPr>
        <w:spacing w:line="360" w:lineRule="auto"/>
        <w:rPr>
          <w:lang w:val="el-GR"/>
        </w:rPr>
      </w:pPr>
      <w:r w:rsidRPr="00C23C4F">
        <w:rPr>
          <w:lang w:val="el-GR"/>
        </w:rPr>
        <w:t>Ημερομηνία κατάθεσης προσφοράς ………..</w:t>
      </w:r>
    </w:p>
    <w:p w14:paraId="416EFE3C" w14:textId="0102EEDB" w:rsidR="00AA1B53" w:rsidRPr="00EA4A9E" w:rsidRDefault="00AA1B53" w:rsidP="001C0A2E">
      <w:pPr>
        <w:pStyle w:val="ListParagraph"/>
        <w:numPr>
          <w:ilvl w:val="0"/>
          <w:numId w:val="15"/>
        </w:numPr>
        <w:spacing w:line="360" w:lineRule="auto"/>
        <w:rPr>
          <w:lang w:val="el-GR"/>
        </w:rPr>
      </w:pPr>
      <w:r w:rsidRPr="00EA4A9E">
        <w:rPr>
          <w:lang w:val="el-GR"/>
        </w:rPr>
        <w:t>ΠΡΟΣΟΧΗ: Να ΜΗΝ αποσφραγισθεί από την Ταχυδρομική Υπηρεσία &amp; το Πρωτόκολλο.</w:t>
      </w:r>
    </w:p>
    <w:p w14:paraId="6891E6A7" w14:textId="77777777" w:rsidR="00E2732A" w:rsidRPr="00C23C4F" w:rsidRDefault="00E2732A" w:rsidP="00AA1B53">
      <w:pPr>
        <w:spacing w:line="360" w:lineRule="auto"/>
        <w:ind w:left="360"/>
        <w:rPr>
          <w:lang w:val="el-GR"/>
        </w:rPr>
      </w:pPr>
    </w:p>
    <w:p w14:paraId="1EF66C30" w14:textId="77777777" w:rsidR="00E2732A" w:rsidRPr="00E2732A" w:rsidRDefault="00D41FD6" w:rsidP="006B41C2">
      <w:pPr>
        <w:spacing w:line="360" w:lineRule="auto"/>
        <w:rPr>
          <w:b/>
          <w:bCs/>
          <w:lang w:val="el-GR"/>
        </w:rPr>
      </w:pPr>
      <w:r w:rsidRPr="00E2732A">
        <w:rPr>
          <w:b/>
          <w:bCs/>
          <w:lang w:val="el-GR"/>
        </w:rPr>
        <w:t>2.4.</w:t>
      </w:r>
      <w:r w:rsidR="009D7031" w:rsidRPr="00E2732A">
        <w:rPr>
          <w:b/>
          <w:bCs/>
          <w:lang w:val="el-GR"/>
        </w:rPr>
        <w:t>2.2</w:t>
      </w:r>
      <w:r w:rsidRPr="00E2732A">
        <w:rPr>
          <w:b/>
          <w:bCs/>
          <w:lang w:val="el-GR"/>
        </w:rPr>
        <w:tab/>
        <w:t>Περιεχόμενα Φακέλου «Δικαιολογητικά Συμμετοχής- Τεχνική Προσφορά»</w:t>
      </w:r>
      <w:bookmarkEnd w:id="25"/>
    </w:p>
    <w:p w14:paraId="066109A7" w14:textId="39F39A97" w:rsidR="009F7508" w:rsidRDefault="0070596E" w:rsidP="006B41C2">
      <w:pPr>
        <w:spacing w:line="360" w:lineRule="auto"/>
        <w:rPr>
          <w:lang w:val="el-GR"/>
        </w:rPr>
      </w:pPr>
      <w:r w:rsidRPr="00F10393">
        <w:rPr>
          <w:lang w:val="el-GR"/>
        </w:rPr>
        <w:t>Περιλαμβάνει το σύνολο των εγγράφων – δικ</w:t>
      </w:r>
      <w:r w:rsidRPr="003A1B24">
        <w:rPr>
          <w:lang w:val="el-GR"/>
        </w:rPr>
        <w:t>αιολογητικών που απαντούν στα κριτήρια επιλογής της παραγράφου 2.2.3 ανωτέρω καθώς και τα έγγραφα που απαντούν στο δικαίωμα συμμετοχής της παραγράφου 2.2.1 παραπάνω. Επίσης ο προσφέρων δύναται να συμπεριλάβει οποιοδήποτε άλλο έγγραφο κρίνει απαραίτητο για το αντικείμενο της παρούσης καθώς και συνοπτική περιγραφή του τρόπου παροχής της ζητούμενης υπηρεσίας, περιλαμβανομένων της αναφοράς του προσωπικού και τα προσόντα αυτού που τυχόν θα διαθέσει για την παροχή της υπηρεσίας.</w:t>
      </w:r>
    </w:p>
    <w:p w14:paraId="1AC5A549" w14:textId="77777777" w:rsidR="00F10393" w:rsidRDefault="00F10393" w:rsidP="006B41C2">
      <w:pPr>
        <w:spacing w:line="360" w:lineRule="auto"/>
        <w:rPr>
          <w:lang w:val="el-GR"/>
        </w:rPr>
      </w:pPr>
    </w:p>
    <w:p w14:paraId="53BBF75A" w14:textId="77777777" w:rsidR="009F7508" w:rsidRPr="00E2732A" w:rsidRDefault="00541B4F" w:rsidP="006B41C2">
      <w:pPr>
        <w:spacing w:line="360" w:lineRule="auto"/>
        <w:rPr>
          <w:b/>
          <w:bCs/>
          <w:lang w:val="el-GR"/>
        </w:rPr>
      </w:pPr>
      <w:r w:rsidRPr="00E2732A">
        <w:rPr>
          <w:b/>
          <w:bCs/>
          <w:lang w:val="el-GR"/>
        </w:rPr>
        <w:t>2.4.</w:t>
      </w:r>
      <w:r w:rsidR="009D7031" w:rsidRPr="00E2732A">
        <w:rPr>
          <w:b/>
          <w:bCs/>
          <w:lang w:val="el-GR"/>
        </w:rPr>
        <w:t>2.3</w:t>
      </w:r>
      <w:r w:rsidRPr="00E2732A">
        <w:rPr>
          <w:b/>
          <w:bCs/>
          <w:lang w:val="el-GR"/>
        </w:rPr>
        <w:tab/>
        <w:t>Περιεχόμενα Φακέλου «Οικονομική Προσφορά» / Τρόπος σύνταξης και υποβολής οικονομικών προσφορών</w:t>
      </w:r>
    </w:p>
    <w:p w14:paraId="6D0D0D90" w14:textId="6CD07D51" w:rsidR="009F7508" w:rsidRDefault="00E43975" w:rsidP="006B41C2">
      <w:pPr>
        <w:spacing w:line="360" w:lineRule="auto"/>
        <w:rPr>
          <w:lang w:val="el-GR"/>
        </w:rPr>
      </w:pPr>
      <w:r>
        <w:rPr>
          <w:lang w:val="el-GR"/>
        </w:rPr>
        <w:t xml:space="preserve">Ο εν λόγω φάκελος περιλαμβάνει την οικονομική προσφορά του προσφέροντα σύμφωνα με τους όρους της παρούσης. </w:t>
      </w:r>
      <w:r w:rsidR="00C04E01" w:rsidRPr="00C04E01">
        <w:rPr>
          <w:lang w:val="el-GR"/>
        </w:rPr>
        <w:t xml:space="preserve">Η </w:t>
      </w:r>
      <w:r w:rsidR="00C04E01">
        <w:rPr>
          <w:lang w:val="el-GR"/>
        </w:rPr>
        <w:t xml:space="preserve">κατακύρωση </w:t>
      </w:r>
      <w:r w:rsidR="00C04E01" w:rsidRPr="00C04E01">
        <w:rPr>
          <w:lang w:val="el-GR"/>
        </w:rPr>
        <w:t xml:space="preserve">θα </w:t>
      </w:r>
      <w:r w:rsidR="00C04E01">
        <w:rPr>
          <w:lang w:val="el-GR"/>
        </w:rPr>
        <w:t xml:space="preserve">γίνει στην Προσφορά </w:t>
      </w:r>
      <w:r w:rsidR="00C04E01" w:rsidRPr="00C04E01">
        <w:rPr>
          <w:lang w:val="el-GR"/>
        </w:rPr>
        <w:t xml:space="preserve">με </w:t>
      </w:r>
      <w:r w:rsidR="00C04E01">
        <w:rPr>
          <w:lang w:val="el-GR"/>
        </w:rPr>
        <w:t>την</w:t>
      </w:r>
      <w:r w:rsidR="00C04E01" w:rsidRPr="00C04E01">
        <w:rPr>
          <w:lang w:val="el-GR"/>
        </w:rPr>
        <w:t xml:space="preserve"> πλέον συμφέρουσα από οικονομική</w:t>
      </w:r>
      <w:r w:rsidR="00C04E01">
        <w:rPr>
          <w:lang w:val="el-GR"/>
        </w:rPr>
        <w:t>ς</w:t>
      </w:r>
      <w:r w:rsidR="00C04E01" w:rsidRPr="00C04E01">
        <w:rPr>
          <w:lang w:val="el-GR"/>
        </w:rPr>
        <w:t xml:space="preserve"> άποψη</w:t>
      </w:r>
      <w:r w:rsidR="00C04E01">
        <w:rPr>
          <w:lang w:val="el-GR"/>
        </w:rPr>
        <w:t>ς</w:t>
      </w:r>
      <w:r w:rsidR="00C04E01" w:rsidRPr="00C04E01">
        <w:rPr>
          <w:lang w:val="el-GR"/>
        </w:rPr>
        <w:t xml:space="preserve"> προσφορά, βάσει τιμής μόνο</w:t>
      </w:r>
      <w:r w:rsidR="00C04E01">
        <w:rPr>
          <w:lang w:val="el-GR"/>
        </w:rPr>
        <w:t xml:space="preserve"> στο σύνολο των προσφερόμενων υπηρεσιών</w:t>
      </w:r>
      <w:r w:rsidR="001F2296">
        <w:rPr>
          <w:lang w:val="el-GR"/>
        </w:rPr>
        <w:t xml:space="preserve"> σύμφωνα με τα οριζόμενα στην παρούσα Πρόσκληση</w:t>
      </w:r>
      <w:r w:rsidR="00C04E01" w:rsidRPr="00C04E01">
        <w:rPr>
          <w:lang w:val="el-GR"/>
        </w:rPr>
        <w:t>.</w:t>
      </w:r>
    </w:p>
    <w:p w14:paraId="28CE2D4C" w14:textId="0DC0F2F4" w:rsidR="009F7508" w:rsidRDefault="000D21FA" w:rsidP="006B41C2">
      <w:pPr>
        <w:spacing w:line="360" w:lineRule="auto"/>
        <w:rPr>
          <w:lang w:val="el-GR"/>
        </w:rPr>
      </w:pPr>
      <w:r w:rsidRPr="000D21FA">
        <w:rPr>
          <w:lang w:val="el-GR"/>
        </w:rPr>
        <w:lastRenderedPageBreak/>
        <w:t>Επισημαίνεται ότι η συνολική προσφερόμενη τιμή της οικονομικής προσφοράς δεν θα πρέπει να ξεπερνά την προϋπολογισθείσα δαπάνη.</w:t>
      </w:r>
    </w:p>
    <w:p w14:paraId="5F2A2C7E" w14:textId="77777777" w:rsidR="000D21FA" w:rsidRPr="000D21FA" w:rsidRDefault="000D21FA" w:rsidP="000D21FA">
      <w:pPr>
        <w:spacing w:line="360" w:lineRule="auto"/>
        <w:rPr>
          <w:lang w:val="el-GR"/>
        </w:rPr>
      </w:pPr>
      <w:r w:rsidRPr="000D21FA">
        <w:rPr>
          <w:lang w:val="el-GR"/>
        </w:rPr>
        <w:t>Σημειώνεται ότι :</w:t>
      </w:r>
    </w:p>
    <w:p w14:paraId="6FF9B97C" w14:textId="78682E58" w:rsidR="000D21FA" w:rsidRPr="000D21FA" w:rsidRDefault="000D21FA" w:rsidP="000D21FA">
      <w:pPr>
        <w:pStyle w:val="ListParagraph"/>
        <w:numPr>
          <w:ilvl w:val="0"/>
          <w:numId w:val="21"/>
        </w:numPr>
        <w:spacing w:line="360" w:lineRule="auto"/>
        <w:rPr>
          <w:lang w:val="el-GR"/>
        </w:rPr>
      </w:pPr>
      <w:r w:rsidRPr="000D21FA">
        <w:rPr>
          <w:lang w:val="el-GR"/>
        </w:rPr>
        <w:t>Κάθε τιμολόγιο του αναδόχου υπόκειται στις νόμιμες κρατήσεις που τον βαραίνουν αποκλειστικά.</w:t>
      </w:r>
    </w:p>
    <w:p w14:paraId="3E353E9A" w14:textId="7BA3EEC7" w:rsidR="000D21FA" w:rsidRDefault="000D21FA" w:rsidP="0009015B">
      <w:pPr>
        <w:pStyle w:val="ListParagraph"/>
        <w:numPr>
          <w:ilvl w:val="0"/>
          <w:numId w:val="21"/>
        </w:numPr>
        <w:spacing w:line="360" w:lineRule="auto"/>
        <w:rPr>
          <w:lang w:val="el-GR"/>
        </w:rPr>
      </w:pPr>
      <w:r w:rsidRPr="0009015B">
        <w:rPr>
          <w:lang w:val="el-GR"/>
        </w:rPr>
        <w:t>Ο ανάδοχος δεν έχει το δικαίωμα να εκχωρήσει την απαίτηση του σε τρίτον χωρίς την έγγραφη συναίνεση της ΑΕΔΙΚ. Σε περίπτωση παράβασης αυτού του όρου, η ΑΕΔΙΚ, έχει το δικαίωμα να αρνηθεί την πληρωμή σε κάθε τρίτον.</w:t>
      </w:r>
    </w:p>
    <w:p w14:paraId="1C45DA83" w14:textId="7FCC3BFD" w:rsidR="0009015B" w:rsidRPr="0009015B" w:rsidRDefault="0009015B" w:rsidP="0009015B">
      <w:pPr>
        <w:spacing w:line="360" w:lineRule="auto"/>
        <w:rPr>
          <w:lang w:val="el-GR"/>
        </w:rPr>
      </w:pPr>
      <w:r w:rsidRPr="0009015B">
        <w:rPr>
          <w:lang w:val="el-GR"/>
        </w:rPr>
        <w:t xml:space="preserve">Οι τιμές των Προσφορών θα εκφράζονται σε Ευρώ. Στις τιμές θα περιλαμβάνονται οι τυχόν υπέρ τρίτων κρατήσεις, ως και κάθε άλλη επιβάρυνση, εκτός από τον ΦΠΑ, για </w:t>
      </w:r>
      <w:r>
        <w:rPr>
          <w:lang w:val="el-GR"/>
        </w:rPr>
        <w:t>παροχή των υπηρεσιών</w:t>
      </w:r>
      <w:r w:rsidRPr="0009015B">
        <w:rPr>
          <w:lang w:val="el-GR"/>
        </w:rPr>
        <w:t xml:space="preserve"> ελεύθερα στον τόπο και με τον τρόπο που προβλέπεται από την παρούσα </w:t>
      </w:r>
      <w:r>
        <w:rPr>
          <w:lang w:val="el-GR"/>
        </w:rPr>
        <w:t>Πρόσκληση</w:t>
      </w:r>
      <w:r w:rsidRPr="0009015B">
        <w:rPr>
          <w:lang w:val="el-GR"/>
        </w:rPr>
        <w:t>.</w:t>
      </w:r>
    </w:p>
    <w:p w14:paraId="3EDC90A8" w14:textId="77777777" w:rsidR="0009015B" w:rsidRPr="0009015B" w:rsidRDefault="0009015B" w:rsidP="0009015B">
      <w:pPr>
        <w:spacing w:line="360" w:lineRule="auto"/>
        <w:rPr>
          <w:lang w:val="el-GR"/>
        </w:rPr>
      </w:pPr>
      <w:r w:rsidRPr="0009015B">
        <w:rPr>
          <w:lang w:val="el-GR"/>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14:paraId="2EA6584C" w14:textId="66CBCAFF" w:rsidR="0009015B" w:rsidRPr="0009015B" w:rsidRDefault="0009015B" w:rsidP="0009015B">
      <w:pPr>
        <w:spacing w:line="360" w:lineRule="auto"/>
        <w:rPr>
          <w:lang w:val="el-GR"/>
        </w:rPr>
      </w:pPr>
      <w:r w:rsidRPr="0009015B">
        <w:rPr>
          <w:lang w:val="el-GR"/>
        </w:rPr>
        <w:t>Προσφερόμεν</w:t>
      </w:r>
      <w:r w:rsidR="005E60FA">
        <w:rPr>
          <w:lang w:val="el-GR"/>
        </w:rPr>
        <w:t>η</w:t>
      </w:r>
      <w:r w:rsidRPr="0009015B">
        <w:rPr>
          <w:lang w:val="el-GR"/>
        </w:rPr>
        <w:t xml:space="preserve"> </w:t>
      </w:r>
      <w:r w:rsidR="005E60FA">
        <w:rPr>
          <w:lang w:val="el-GR"/>
        </w:rPr>
        <w:t>υπηρεσία</w:t>
      </w:r>
      <w:r w:rsidRPr="0009015B">
        <w:rPr>
          <w:lang w:val="el-GR"/>
        </w:rPr>
        <w:t xml:space="preserve"> </w:t>
      </w:r>
      <w:r w:rsidR="005E60FA">
        <w:rPr>
          <w:lang w:val="el-GR"/>
        </w:rPr>
        <w:t>η</w:t>
      </w:r>
      <w:r w:rsidRPr="0009015B">
        <w:rPr>
          <w:lang w:val="el-GR"/>
        </w:rPr>
        <w:t xml:space="preserve"> οποί</w:t>
      </w:r>
      <w:r w:rsidR="005E60FA">
        <w:rPr>
          <w:lang w:val="el-GR"/>
        </w:rPr>
        <w:t>α</w:t>
      </w:r>
      <w:r w:rsidRPr="0009015B">
        <w:rPr>
          <w:lang w:val="el-GR"/>
        </w:rPr>
        <w:t xml:space="preserve"> αναφέρεται στην Οικονομική Προσφορά χωρίς τιμή, θεωρείται ότι προσφέρεται με μηδενική αξία.</w:t>
      </w:r>
    </w:p>
    <w:p w14:paraId="3E96183A" w14:textId="77777777" w:rsidR="0009015B" w:rsidRPr="0009015B" w:rsidRDefault="0009015B" w:rsidP="0009015B">
      <w:pPr>
        <w:spacing w:line="360" w:lineRule="auto"/>
        <w:rPr>
          <w:lang w:val="el-GR"/>
        </w:rPr>
      </w:pPr>
      <w:r w:rsidRPr="0009015B">
        <w:rPr>
          <w:lang w:val="el-GR"/>
        </w:rPr>
        <w:t>Η τιμή χωρίς ΦΠΑ θα λαμβάνεται υπόψη για τη σύγκριση των Προσφορών. Σε περίπτωση λογιστικής ασυμφωνίας μεταξύ της τιμής μονάδας και της συνολικής τιμής, υπερισχύει η τιμή μονάδας.</w:t>
      </w:r>
    </w:p>
    <w:p w14:paraId="1F2C40E3" w14:textId="77777777" w:rsidR="0009015B" w:rsidRPr="0009015B" w:rsidRDefault="0009015B" w:rsidP="0009015B">
      <w:pPr>
        <w:spacing w:line="360" w:lineRule="auto"/>
        <w:rPr>
          <w:lang w:val="el-GR"/>
        </w:rPr>
      </w:pPr>
      <w:r w:rsidRPr="0009015B">
        <w:rPr>
          <w:lang w:val="el-GR"/>
        </w:rPr>
        <w:t>Προσφορά που δε δίδει τιμή σε Ευρώ ή δίδει τιμή σε συνάλλαγμα ή με ρήτρα συναλλάγματος απορρίπτεται ως απαράδεκτη.</w:t>
      </w:r>
    </w:p>
    <w:p w14:paraId="7FC219CE" w14:textId="77777777" w:rsidR="0009015B" w:rsidRPr="0009015B" w:rsidRDefault="0009015B" w:rsidP="0009015B">
      <w:pPr>
        <w:spacing w:line="360" w:lineRule="auto"/>
        <w:rPr>
          <w:lang w:val="el-GR"/>
        </w:rPr>
      </w:pPr>
      <w:r w:rsidRPr="0009015B">
        <w:rPr>
          <w:lang w:val="el-GR"/>
        </w:rPr>
        <w:t>Οι τιμές των Προσφορών δεν υπόκεινται σε μεταβολή κατά τη διάρκεια ισχύος της Προσφοράς.</w:t>
      </w:r>
    </w:p>
    <w:p w14:paraId="5464EFC4" w14:textId="77777777" w:rsidR="0009015B" w:rsidRPr="0009015B" w:rsidRDefault="0009015B" w:rsidP="0009015B">
      <w:pPr>
        <w:spacing w:line="360" w:lineRule="auto"/>
        <w:rPr>
          <w:lang w:val="el-GR"/>
        </w:rPr>
      </w:pPr>
      <w:r w:rsidRPr="0009015B">
        <w:rPr>
          <w:lang w:val="el-GR"/>
        </w:rPr>
        <w:t>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14:paraId="08AC8A50" w14:textId="4C76D99E" w:rsidR="009F7508" w:rsidRDefault="0009015B" w:rsidP="00E97DF8">
      <w:pPr>
        <w:spacing w:line="360" w:lineRule="auto"/>
        <w:rPr>
          <w:lang w:val="el-GR"/>
        </w:rPr>
      </w:pPr>
      <w:r w:rsidRPr="0009015B">
        <w:rPr>
          <w:lang w:val="el-GR"/>
        </w:rPr>
        <w:t xml:space="preserve">Η ΑΕΔΙΚ διατηρεί το δικαίωμα να ζητήσει από τους συμμετέχοντες στοιχεία απαραίτητα για τη τεκμηρίωση των </w:t>
      </w:r>
      <w:proofErr w:type="spellStart"/>
      <w:r w:rsidRPr="0009015B">
        <w:rPr>
          <w:lang w:val="el-GR"/>
        </w:rPr>
        <w:t>προσφερομένων</w:t>
      </w:r>
      <w:proofErr w:type="spellEnd"/>
      <w:r w:rsidRPr="0009015B">
        <w:rPr>
          <w:lang w:val="el-GR"/>
        </w:rPr>
        <w:t xml:space="preserve"> τιμών, οι δε προμηθευτές υποχρεούνται να τα παρέχουν.</w:t>
      </w:r>
    </w:p>
    <w:p w14:paraId="06874DC8" w14:textId="77777777" w:rsidR="00FB73BD" w:rsidRPr="00C229F3" w:rsidRDefault="00FB73BD" w:rsidP="00E97DF8">
      <w:pPr>
        <w:spacing w:line="360" w:lineRule="auto"/>
        <w:rPr>
          <w:lang w:val="el-GR"/>
        </w:rPr>
      </w:pPr>
    </w:p>
    <w:p w14:paraId="5E42E066" w14:textId="450D8BA1" w:rsidR="00D41FD6" w:rsidRPr="00C229F3" w:rsidRDefault="00D41FD6" w:rsidP="006B41C2">
      <w:pPr>
        <w:pStyle w:val="Heading3"/>
        <w:spacing w:line="360" w:lineRule="auto"/>
        <w:rPr>
          <w:lang w:val="el-GR"/>
        </w:rPr>
      </w:pPr>
      <w:bookmarkStart w:id="26" w:name="_Toc13748930"/>
      <w:r>
        <w:rPr>
          <w:rFonts w:ascii="Calibri" w:hAnsi="Calibri"/>
          <w:lang w:val="el-GR"/>
        </w:rPr>
        <w:t>2.4.</w:t>
      </w:r>
      <w:r w:rsidR="009D7031">
        <w:rPr>
          <w:rFonts w:ascii="Calibri" w:hAnsi="Calibri"/>
          <w:lang w:val="el-GR"/>
        </w:rPr>
        <w:t>3</w:t>
      </w:r>
      <w:r>
        <w:rPr>
          <w:rFonts w:ascii="Calibri" w:hAnsi="Calibri"/>
          <w:lang w:val="el-GR"/>
        </w:rPr>
        <w:tab/>
        <w:t>Χρόνος ισχύος των προσφορών</w:t>
      </w:r>
      <w:bookmarkEnd w:id="26"/>
      <w:r>
        <w:rPr>
          <w:rFonts w:ascii="Calibri" w:hAnsi="Calibri"/>
          <w:lang w:val="el-GR"/>
        </w:rPr>
        <w:t xml:space="preserve"> </w:t>
      </w:r>
    </w:p>
    <w:p w14:paraId="46A791E1" w14:textId="0C32D7FC" w:rsidR="00D41FD6" w:rsidRPr="00C229F3" w:rsidRDefault="00D41FD6" w:rsidP="006B41C2">
      <w:pPr>
        <w:spacing w:line="360" w:lineRule="auto"/>
        <w:rPr>
          <w:lang w:val="el-GR"/>
        </w:rPr>
      </w:pPr>
      <w:r>
        <w:rPr>
          <w:lang w:val="el-GR" w:eastAsia="el-GR"/>
        </w:rPr>
        <w:t xml:space="preserve">Οι υποβαλλόμενες προσφορές ισχύουν και δεσμεύουν τους οικονομικούς φορείς για διάστημα </w:t>
      </w:r>
      <w:r w:rsidR="0094741A">
        <w:rPr>
          <w:lang w:val="el-GR" w:eastAsia="el-GR"/>
        </w:rPr>
        <w:t>έξι</w:t>
      </w:r>
      <w:r w:rsidR="00C521E0">
        <w:rPr>
          <w:lang w:val="el-GR" w:eastAsia="el-GR"/>
        </w:rPr>
        <w:t xml:space="preserve"> (</w:t>
      </w:r>
      <w:r w:rsidR="00C23C4F">
        <w:rPr>
          <w:lang w:val="el-GR" w:eastAsia="el-GR"/>
        </w:rPr>
        <w:t>6</w:t>
      </w:r>
      <w:r w:rsidR="00C521E0">
        <w:rPr>
          <w:lang w:val="el-GR" w:eastAsia="el-GR"/>
        </w:rPr>
        <w:t xml:space="preserve">) </w:t>
      </w:r>
      <w:r>
        <w:rPr>
          <w:lang w:val="el-GR" w:eastAsia="el-GR"/>
        </w:rPr>
        <w:t xml:space="preserve">μηνών από την επόμενη </w:t>
      </w:r>
      <w:r w:rsidR="0094741A">
        <w:rPr>
          <w:lang w:val="el-GR" w:eastAsia="el-GR"/>
        </w:rPr>
        <w:t>της Καταληκτικής Ημερομηνίας Υποβολής Προσφορών</w:t>
      </w:r>
      <w:r w:rsidR="003D0C69">
        <w:rPr>
          <w:lang w:val="el-GR" w:eastAsia="el-GR"/>
        </w:rPr>
        <w:t xml:space="preserve">, </w:t>
      </w:r>
      <w:r w:rsidR="003D0C69" w:rsidRPr="003D0C69">
        <w:rPr>
          <w:lang w:val="el-GR" w:eastAsia="el-GR"/>
        </w:rPr>
        <w:t>ήτοι</w:t>
      </w:r>
      <w:r w:rsidR="003D0C69">
        <w:rPr>
          <w:lang w:val="el-GR" w:eastAsia="el-GR"/>
        </w:rPr>
        <w:t xml:space="preserve"> 03/12/2020</w:t>
      </w:r>
      <w:r w:rsidR="0094741A">
        <w:rPr>
          <w:lang w:val="el-GR" w:eastAsia="el-GR"/>
        </w:rPr>
        <w:t>.</w:t>
      </w:r>
    </w:p>
    <w:p w14:paraId="25944300" w14:textId="77777777" w:rsidR="00D41FD6" w:rsidRPr="00C229F3" w:rsidRDefault="00D41FD6" w:rsidP="006B41C2">
      <w:pPr>
        <w:spacing w:line="360" w:lineRule="auto"/>
        <w:rPr>
          <w:lang w:val="el-GR"/>
        </w:rPr>
      </w:pPr>
      <w:r>
        <w:rPr>
          <w:lang w:val="el-GR" w:eastAsia="el-GR"/>
        </w:rPr>
        <w:t>Προσφορά η οποία ορίζει χρόνο ισχύος μικρότερο από τον ανωτέρω προβλεπόμενο απορρίπτεται.</w:t>
      </w:r>
    </w:p>
    <w:p w14:paraId="43DB1DCF" w14:textId="77777777" w:rsidR="00D41FD6" w:rsidRPr="00C229F3" w:rsidRDefault="00D41FD6" w:rsidP="00F22F93">
      <w:pPr>
        <w:pStyle w:val="Heading1"/>
        <w:tabs>
          <w:tab w:val="left" w:pos="567"/>
        </w:tabs>
        <w:spacing w:line="360" w:lineRule="auto"/>
        <w:ind w:left="567" w:hanging="567"/>
        <w:rPr>
          <w:lang w:val="el-GR"/>
        </w:rPr>
      </w:pPr>
      <w:bookmarkStart w:id="27" w:name="_Toc13748932"/>
      <w:r>
        <w:rPr>
          <w:rFonts w:ascii="Calibri" w:hAnsi="Calibri"/>
          <w:lang w:val="el-GR"/>
        </w:rPr>
        <w:lastRenderedPageBreak/>
        <w:t>3.</w:t>
      </w:r>
      <w:r>
        <w:rPr>
          <w:rFonts w:ascii="Calibri" w:hAnsi="Calibri"/>
          <w:lang w:val="el-GR"/>
        </w:rPr>
        <w:tab/>
        <w:t>ΔΙΕΝΕΡΓΕΙΑ ΔΙΑΔΙΚΑΣΙΑΣ - ΑΞΙΟΛΟΓΗΣΗ ΠΡΟΣΦΟΡΩΝ</w:t>
      </w:r>
      <w:bookmarkEnd w:id="27"/>
    </w:p>
    <w:p w14:paraId="48135AA0" w14:textId="77777777" w:rsidR="00D41FD6" w:rsidRPr="00C229F3" w:rsidRDefault="00D41FD6" w:rsidP="00F22F93">
      <w:pPr>
        <w:pStyle w:val="Heading2"/>
        <w:spacing w:line="360" w:lineRule="auto"/>
        <w:rPr>
          <w:lang w:val="el-GR"/>
        </w:rPr>
      </w:pPr>
      <w:bookmarkStart w:id="28" w:name="_Toc13748933"/>
      <w:r>
        <w:rPr>
          <w:rFonts w:ascii="Calibri" w:hAnsi="Calibri"/>
          <w:lang w:val="el-GR"/>
        </w:rPr>
        <w:t>3.1</w:t>
      </w:r>
      <w:r>
        <w:rPr>
          <w:rFonts w:ascii="Calibri" w:hAnsi="Calibri"/>
          <w:lang w:val="el-GR"/>
        </w:rPr>
        <w:tab/>
        <w:t>Αποσφράγιση και αξιολόγηση προσφορών</w:t>
      </w:r>
      <w:bookmarkEnd w:id="28"/>
      <w:r>
        <w:rPr>
          <w:rFonts w:ascii="Calibri" w:hAnsi="Calibri"/>
          <w:lang w:val="el-GR"/>
        </w:rPr>
        <w:t xml:space="preserve"> </w:t>
      </w:r>
    </w:p>
    <w:p w14:paraId="29889075" w14:textId="77777777" w:rsidR="00D41FD6" w:rsidRPr="00C229F3" w:rsidRDefault="00D41FD6" w:rsidP="00155A17">
      <w:pPr>
        <w:pStyle w:val="Heading3"/>
        <w:spacing w:line="360" w:lineRule="auto"/>
        <w:rPr>
          <w:lang w:val="el-GR"/>
        </w:rPr>
      </w:pPr>
      <w:bookmarkStart w:id="29" w:name="_Toc13748935"/>
      <w:r w:rsidRPr="00C229F3">
        <w:rPr>
          <w:rFonts w:ascii="Calibri" w:hAnsi="Calibri"/>
          <w:lang w:val="el-GR"/>
        </w:rPr>
        <w:tab/>
        <w:t>Αξιολόγηση προσφορών</w:t>
      </w:r>
      <w:bookmarkEnd w:id="29"/>
    </w:p>
    <w:p w14:paraId="771A944B" w14:textId="77777777" w:rsidR="00D41FD6" w:rsidRPr="00C229F3" w:rsidRDefault="00D41FD6" w:rsidP="00F22F93">
      <w:pPr>
        <w:spacing w:line="360" w:lineRule="auto"/>
        <w:textAlignment w:val="baseline"/>
        <w:rPr>
          <w:lang w:val="el-GR"/>
        </w:rPr>
      </w:pPr>
      <w:r>
        <w:rPr>
          <w:kern w:val="1"/>
          <w:lang w:val="el-GR"/>
        </w:rPr>
        <w:t xml:space="preserve">Μετά την κατά περίπτωση αποσφράγιση των προσφορών η </w:t>
      </w:r>
      <w:r w:rsidR="00AC17C5">
        <w:rPr>
          <w:kern w:val="1"/>
          <w:lang w:val="el-GR"/>
        </w:rPr>
        <w:t xml:space="preserve">ΑΕΔΙΚ </w:t>
      </w:r>
      <w:r>
        <w:rPr>
          <w:kern w:val="1"/>
          <w:lang w:val="el-GR"/>
        </w:rPr>
        <w:t>προβαίνει στην αξιολόγηση αυτών μέσω των αρμόδιων οργάνων της, εφαρμοζόμενων κατά τα λοιπά των κειμένων διατάξεων.</w:t>
      </w:r>
    </w:p>
    <w:p w14:paraId="51B7FF80" w14:textId="7DE906D0" w:rsidR="00D41FD6" w:rsidRPr="00C229F3" w:rsidRDefault="00D41FD6" w:rsidP="00F22F93">
      <w:pPr>
        <w:pStyle w:val="Heading2"/>
        <w:spacing w:line="360" w:lineRule="auto"/>
        <w:rPr>
          <w:lang w:val="el-GR"/>
        </w:rPr>
      </w:pPr>
      <w:bookmarkStart w:id="30" w:name="__RefHeading___Toc491950129"/>
      <w:bookmarkStart w:id="31" w:name="_Toc13748936"/>
      <w:bookmarkEnd w:id="30"/>
      <w:r>
        <w:rPr>
          <w:rFonts w:ascii="Calibri" w:hAnsi="Calibri"/>
          <w:lang w:val="el-GR"/>
        </w:rPr>
        <w:t>3.2</w:t>
      </w:r>
      <w:r>
        <w:rPr>
          <w:rFonts w:ascii="Calibri" w:hAnsi="Calibri"/>
          <w:lang w:val="el-GR"/>
        </w:rPr>
        <w:tab/>
        <w:t xml:space="preserve">Πρόσκληση </w:t>
      </w:r>
      <w:r w:rsidR="006C7D96">
        <w:rPr>
          <w:rFonts w:ascii="Calibri" w:hAnsi="Calibri"/>
          <w:lang w:val="el-GR"/>
        </w:rPr>
        <w:t>Υποβολής Δικαιολογητικών Προσωρινού Αναδόχου</w:t>
      </w:r>
      <w:r w:rsidR="00573B23" w:rsidRPr="00573B23">
        <w:rPr>
          <w:rFonts w:ascii="Calibri" w:hAnsi="Calibri"/>
          <w:lang w:val="el-GR"/>
        </w:rPr>
        <w:t xml:space="preserve"> </w:t>
      </w:r>
      <w:r>
        <w:rPr>
          <w:rFonts w:ascii="Calibri" w:hAnsi="Calibri"/>
          <w:lang w:val="el-GR"/>
        </w:rPr>
        <w:t xml:space="preserve">- Δικαιολογητικά </w:t>
      </w:r>
      <w:r w:rsidR="006C7D96">
        <w:rPr>
          <w:rFonts w:ascii="Calibri" w:hAnsi="Calibri"/>
          <w:lang w:val="el-GR"/>
        </w:rPr>
        <w:t xml:space="preserve">Προσωρινού </w:t>
      </w:r>
      <w:bookmarkEnd w:id="31"/>
      <w:r w:rsidR="006C7D96">
        <w:rPr>
          <w:rFonts w:ascii="Calibri" w:hAnsi="Calibri"/>
          <w:lang w:val="el-GR"/>
        </w:rPr>
        <w:t>Αναδόχου</w:t>
      </w:r>
    </w:p>
    <w:p w14:paraId="1AD1ADE4" w14:textId="77777777" w:rsidR="00D41FD6" w:rsidRPr="005609B2" w:rsidRDefault="00D41FD6" w:rsidP="00F22F93">
      <w:pPr>
        <w:spacing w:line="360" w:lineRule="auto"/>
        <w:rPr>
          <w:color w:val="000000"/>
          <w:lang w:val="el-GR"/>
        </w:rPr>
      </w:pPr>
      <w:r>
        <w:rPr>
          <w:lang w:val="el-GR"/>
        </w:rPr>
        <w:t xml:space="preserve">Μετά την αξιολόγηση των προσφορών, η </w:t>
      </w:r>
      <w:r w:rsidR="00AC17C5">
        <w:rPr>
          <w:lang w:val="el-GR"/>
        </w:rPr>
        <w:t xml:space="preserve">ΑΕΔΙΚ </w:t>
      </w:r>
      <w:r w:rsidRPr="005609B2">
        <w:rPr>
          <w:color w:val="000000"/>
          <w:lang w:val="el-GR"/>
        </w:rPr>
        <w:t xml:space="preserve">αποστέλλει σχετική </w:t>
      </w:r>
      <w:r w:rsidR="00C23C4F">
        <w:rPr>
          <w:color w:val="000000"/>
          <w:lang w:val="el-GR"/>
        </w:rPr>
        <w:t xml:space="preserve">έγγραφη </w:t>
      </w:r>
      <w:r w:rsidRPr="005609B2">
        <w:rPr>
          <w:color w:val="000000"/>
          <w:lang w:val="el-GR"/>
        </w:rPr>
        <w:t>πρόσκληση στον προσφέροντα, στον οποίο πρόκειται να γίνει η κατακύρωση («</w:t>
      </w:r>
      <w:r w:rsidR="00A55D6C">
        <w:rPr>
          <w:color w:val="000000"/>
          <w:lang w:val="el-GR"/>
        </w:rPr>
        <w:t>Π</w:t>
      </w:r>
      <w:r w:rsidR="00A55D6C" w:rsidRPr="005609B2">
        <w:rPr>
          <w:color w:val="000000"/>
          <w:lang w:val="el-GR"/>
        </w:rPr>
        <w:t xml:space="preserve">ροσωρινό </w:t>
      </w:r>
      <w:r w:rsidR="00A55D6C">
        <w:rPr>
          <w:color w:val="000000"/>
          <w:lang w:val="el-GR"/>
        </w:rPr>
        <w:t>Α</w:t>
      </w:r>
      <w:r w:rsidR="00A55D6C" w:rsidRPr="005609B2">
        <w:rPr>
          <w:color w:val="000000"/>
          <w:lang w:val="el-GR"/>
        </w:rPr>
        <w:t>νάδοχο</w:t>
      </w:r>
      <w:r w:rsidRPr="005609B2">
        <w:rPr>
          <w:color w:val="000000"/>
          <w:lang w:val="el-GR"/>
        </w:rPr>
        <w:t>»), και τον καλεί να υποβάλει εντός προθεσμίας</w:t>
      </w:r>
      <w:r w:rsidR="008204A7" w:rsidRPr="005609B2">
        <w:rPr>
          <w:color w:val="000000"/>
          <w:lang w:val="el-GR"/>
        </w:rPr>
        <w:t xml:space="preserve"> </w:t>
      </w:r>
      <w:r w:rsidR="00C23C4F">
        <w:rPr>
          <w:color w:val="000000"/>
          <w:lang w:val="el-GR"/>
        </w:rPr>
        <w:t>πέντε</w:t>
      </w:r>
      <w:r w:rsidR="008204A7" w:rsidRPr="005609B2">
        <w:rPr>
          <w:color w:val="000000"/>
          <w:lang w:val="el-GR"/>
        </w:rPr>
        <w:t xml:space="preserve"> (</w:t>
      </w:r>
      <w:r w:rsidR="00C23C4F">
        <w:rPr>
          <w:color w:val="000000"/>
          <w:lang w:val="el-GR"/>
        </w:rPr>
        <w:t>5</w:t>
      </w:r>
      <w:r w:rsidR="008204A7" w:rsidRPr="005609B2">
        <w:rPr>
          <w:color w:val="000000"/>
          <w:lang w:val="el-GR"/>
        </w:rPr>
        <w:t xml:space="preserve">) </w:t>
      </w:r>
      <w:r w:rsidRPr="005609B2">
        <w:rPr>
          <w:color w:val="000000"/>
          <w:lang w:val="el-GR"/>
        </w:rPr>
        <w:t xml:space="preserve">ημερών από την κοινοποίηση της σχετικής </w:t>
      </w:r>
      <w:r w:rsidR="00761AF0" w:rsidRPr="005609B2">
        <w:rPr>
          <w:color w:val="000000"/>
          <w:lang w:val="el-GR"/>
        </w:rPr>
        <w:t xml:space="preserve">έγγραφης </w:t>
      </w:r>
      <w:r w:rsidRPr="005609B2">
        <w:rPr>
          <w:color w:val="000000"/>
          <w:lang w:val="el-GR"/>
        </w:rPr>
        <w:t>ειδοποίησης σε αυτόν, τα αποδεικτικά έγγραφα νομιμοποίησης</w:t>
      </w:r>
      <w:r w:rsidR="00104771">
        <w:rPr>
          <w:color w:val="000000"/>
          <w:lang w:val="el-GR"/>
        </w:rPr>
        <w:t xml:space="preserve"> </w:t>
      </w:r>
      <w:r w:rsidRPr="005609B2">
        <w:rPr>
          <w:color w:val="000000"/>
          <w:lang w:val="el-GR"/>
        </w:rPr>
        <w:t xml:space="preserve">και τα πρωτότυπα ή αντίγραφα που εκδίδονται, σύμφωνα με τις διατάξεις του άρθρου 1 του </w:t>
      </w:r>
      <w:r w:rsidR="00FA7917">
        <w:rPr>
          <w:color w:val="000000"/>
          <w:lang w:val="el-GR"/>
        </w:rPr>
        <w:t>Ν</w:t>
      </w:r>
      <w:r w:rsidRPr="005609B2">
        <w:rPr>
          <w:color w:val="000000"/>
          <w:lang w:val="el-GR"/>
        </w:rPr>
        <w:t>. 4250/2014 (Α΄ 74) όλων των δικαιολογητικών  που περιγράφονται</w:t>
      </w:r>
      <w:r w:rsidR="00C23C4F">
        <w:rPr>
          <w:color w:val="000000"/>
          <w:lang w:val="el-GR"/>
        </w:rPr>
        <w:t xml:space="preserve"> στο Ν</w:t>
      </w:r>
      <w:r w:rsidR="007246C9">
        <w:rPr>
          <w:color w:val="000000"/>
          <w:lang w:val="el-GR"/>
        </w:rPr>
        <w:t xml:space="preserve">. </w:t>
      </w:r>
      <w:r w:rsidR="00C23C4F">
        <w:rPr>
          <w:color w:val="000000"/>
          <w:lang w:val="el-GR"/>
        </w:rPr>
        <w:t>4412/2016</w:t>
      </w:r>
      <w:r w:rsidRPr="005609B2">
        <w:rPr>
          <w:color w:val="000000"/>
          <w:lang w:val="el-GR"/>
        </w:rPr>
        <w:t>, ως αποδεικτικά στοιχεία για τη μη συνδρομή των λόγων αποκλεισμού, καθώς και για την πλήρωση των κριτηρίων ποιοτικής επιλογής αυτής.</w:t>
      </w:r>
    </w:p>
    <w:p w14:paraId="7908B5E1" w14:textId="77777777" w:rsidR="00D41FD6" w:rsidRPr="00C229F3" w:rsidRDefault="00D41FD6" w:rsidP="00F22F93">
      <w:pPr>
        <w:pStyle w:val="Heading2"/>
        <w:spacing w:line="360" w:lineRule="auto"/>
        <w:rPr>
          <w:lang w:val="el-GR"/>
        </w:rPr>
      </w:pPr>
      <w:bookmarkStart w:id="32" w:name="_Toc13748937"/>
      <w:r>
        <w:rPr>
          <w:rFonts w:ascii="Calibri" w:hAnsi="Calibri"/>
          <w:lang w:val="el-GR"/>
        </w:rPr>
        <w:t>3.3</w:t>
      </w:r>
      <w:r>
        <w:rPr>
          <w:rFonts w:ascii="Calibri" w:hAnsi="Calibri"/>
          <w:lang w:val="el-GR"/>
        </w:rPr>
        <w:tab/>
        <w:t xml:space="preserve">Κατακύρωση - </w:t>
      </w:r>
      <w:r w:rsidR="00F91D5E">
        <w:rPr>
          <w:rFonts w:ascii="Calibri" w:hAnsi="Calibri"/>
          <w:lang w:val="el-GR"/>
        </w:rPr>
        <w:t xml:space="preserve">Σύναψη </w:t>
      </w:r>
      <w:bookmarkEnd w:id="32"/>
      <w:r w:rsidR="00F91D5E">
        <w:rPr>
          <w:rFonts w:ascii="Calibri" w:hAnsi="Calibri"/>
          <w:lang w:val="el-GR"/>
        </w:rPr>
        <w:t xml:space="preserve">Σύμβασης </w:t>
      </w:r>
    </w:p>
    <w:p w14:paraId="5E365F77" w14:textId="2576F21D" w:rsidR="0084751F" w:rsidRPr="00C23C4F" w:rsidRDefault="00D41FD6" w:rsidP="00F22F93">
      <w:pPr>
        <w:spacing w:line="360" w:lineRule="auto"/>
        <w:rPr>
          <w:color w:val="000000"/>
          <w:lang w:val="el-GR"/>
        </w:rPr>
      </w:pPr>
      <w:r>
        <w:rPr>
          <w:lang w:val="el-GR"/>
        </w:rPr>
        <w:t xml:space="preserve">Η </w:t>
      </w:r>
      <w:r w:rsidR="00AC17C5">
        <w:rPr>
          <w:lang w:val="el-GR"/>
        </w:rPr>
        <w:t xml:space="preserve">ΑΕΔΙΚ </w:t>
      </w:r>
      <w:r w:rsidRPr="005609B2">
        <w:rPr>
          <w:color w:val="000000"/>
          <w:lang w:val="el-GR"/>
        </w:rPr>
        <w:t>κοινοποιεί την απόφαση κατακύρωσης</w:t>
      </w:r>
      <w:r w:rsidR="0070596E">
        <w:rPr>
          <w:color w:val="000000"/>
          <w:lang w:val="el-GR"/>
        </w:rPr>
        <w:t xml:space="preserve"> στον </w:t>
      </w:r>
      <w:r w:rsidR="005C28E6">
        <w:rPr>
          <w:color w:val="000000"/>
          <w:lang w:val="el-GR"/>
        </w:rPr>
        <w:t>Π</w:t>
      </w:r>
      <w:r w:rsidR="005C28E6" w:rsidRPr="005609B2">
        <w:rPr>
          <w:color w:val="000000"/>
          <w:lang w:val="el-GR"/>
        </w:rPr>
        <w:t xml:space="preserve">ροσωρινό </w:t>
      </w:r>
      <w:r w:rsidR="005C28E6">
        <w:rPr>
          <w:color w:val="000000"/>
          <w:lang w:val="el-GR"/>
        </w:rPr>
        <w:t>Α</w:t>
      </w:r>
      <w:r w:rsidR="005C28E6" w:rsidRPr="005609B2">
        <w:rPr>
          <w:color w:val="000000"/>
          <w:lang w:val="el-GR"/>
        </w:rPr>
        <w:t>νάδοχο</w:t>
      </w:r>
      <w:r w:rsidRPr="005609B2">
        <w:rPr>
          <w:color w:val="000000"/>
          <w:lang w:val="el-GR"/>
        </w:rPr>
        <w:t>.</w:t>
      </w:r>
    </w:p>
    <w:p w14:paraId="66F93344" w14:textId="77777777" w:rsidR="00D41FD6" w:rsidRPr="00C229F3" w:rsidRDefault="00D41FD6" w:rsidP="00F22F93">
      <w:pPr>
        <w:pStyle w:val="Heading2"/>
        <w:spacing w:line="360" w:lineRule="auto"/>
        <w:rPr>
          <w:lang w:val="el-GR"/>
        </w:rPr>
      </w:pPr>
      <w:bookmarkStart w:id="33" w:name="_Toc13748939"/>
      <w:r>
        <w:rPr>
          <w:rFonts w:ascii="Calibri" w:hAnsi="Calibri"/>
          <w:lang w:val="el-GR"/>
        </w:rPr>
        <w:t>3.</w:t>
      </w:r>
      <w:r w:rsidR="00C23C4F">
        <w:rPr>
          <w:rFonts w:ascii="Calibri" w:hAnsi="Calibri"/>
          <w:lang w:val="el-GR"/>
        </w:rPr>
        <w:t>4</w:t>
      </w:r>
      <w:r>
        <w:rPr>
          <w:rFonts w:ascii="Calibri" w:hAnsi="Calibri"/>
          <w:lang w:val="el-GR"/>
        </w:rPr>
        <w:tab/>
        <w:t>Ματαίωση Διαδικασίας</w:t>
      </w:r>
      <w:bookmarkEnd w:id="33"/>
    </w:p>
    <w:p w14:paraId="0130AC25" w14:textId="6947D12E" w:rsidR="00D41FD6" w:rsidRPr="00C229F3" w:rsidRDefault="00D41FD6" w:rsidP="00F22F93">
      <w:pPr>
        <w:spacing w:line="360" w:lineRule="auto"/>
        <w:rPr>
          <w:lang w:val="el-GR"/>
        </w:rPr>
      </w:pPr>
      <w:r>
        <w:rPr>
          <w:lang w:val="el-GR"/>
        </w:rPr>
        <w:t xml:space="preserve">Η </w:t>
      </w:r>
      <w:r w:rsidR="00AC17C5">
        <w:rPr>
          <w:lang w:val="el-GR"/>
        </w:rPr>
        <w:t xml:space="preserve">ΑΕΔΙΚ </w:t>
      </w:r>
      <w:r>
        <w:rPr>
          <w:lang w:val="el-GR"/>
        </w:rPr>
        <w:t xml:space="preserve">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w:t>
      </w:r>
      <w:r w:rsidR="00155A17" w:rsidRPr="00155A17">
        <w:rPr>
          <w:lang w:val="el-GR"/>
        </w:rPr>
        <w:t>Ν</w:t>
      </w:r>
      <w:r>
        <w:rPr>
          <w:lang w:val="el-GR"/>
        </w:rPr>
        <w:t xml:space="preserve">. 4412/2016.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sectPr w:rsidR="00D41FD6" w:rsidRPr="00C229F3">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6B4E" w14:textId="77777777" w:rsidR="00CC5429" w:rsidRDefault="00CC5429">
      <w:pPr>
        <w:spacing w:after="0"/>
      </w:pPr>
      <w:r>
        <w:separator/>
      </w:r>
    </w:p>
  </w:endnote>
  <w:endnote w:type="continuationSeparator" w:id="0">
    <w:p w14:paraId="68CC1399" w14:textId="77777777" w:rsidR="00CC5429" w:rsidRDefault="00CC5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07E6" w14:textId="77777777" w:rsidR="002811E4" w:rsidRDefault="002811E4" w:rsidP="002811E4">
    <w:pPr>
      <w:pStyle w:val="Footer"/>
      <w:pBdr>
        <w:top w:val="single" w:sz="4" w:space="1" w:color="auto"/>
      </w:pBdr>
      <w:spacing w:after="0"/>
      <w:jc w:val="center"/>
      <w:rPr>
        <w:sz w:val="20"/>
        <w:szCs w:val="20"/>
        <w:lang w:val="el-GR"/>
      </w:rPr>
    </w:pPr>
  </w:p>
  <w:p w14:paraId="0B2004DC" w14:textId="77777777" w:rsidR="001235E1" w:rsidRDefault="001235E1" w:rsidP="002811E4">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25C18">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BEA1" w14:textId="77777777" w:rsidR="00CC5429" w:rsidRDefault="00CC5429">
      <w:pPr>
        <w:spacing w:after="0"/>
      </w:pPr>
      <w:r>
        <w:separator/>
      </w:r>
    </w:p>
  </w:footnote>
  <w:footnote w:type="continuationSeparator" w:id="0">
    <w:p w14:paraId="77FF77DF" w14:textId="77777777" w:rsidR="00CC5429" w:rsidRDefault="00CC54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360"/>
      </w:pPr>
      <w:rPr>
        <w:b/>
        <w:bCs/>
        <w:szCs w:val="22"/>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143E400A"/>
    <w:multiLevelType w:val="hybridMultilevel"/>
    <w:tmpl w:val="F2B0E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5E06F4C"/>
    <w:multiLevelType w:val="hybridMultilevel"/>
    <w:tmpl w:val="B8AAE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F75BAD"/>
    <w:multiLevelType w:val="multilevel"/>
    <w:tmpl w:val="B052CD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3" w15:restartNumberingAfterBreak="0">
    <w:nsid w:val="1F9003E3"/>
    <w:multiLevelType w:val="hybridMultilevel"/>
    <w:tmpl w:val="A5BA6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BF68DD"/>
    <w:multiLevelType w:val="hybridMultilevel"/>
    <w:tmpl w:val="181C432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B1303"/>
    <w:multiLevelType w:val="multilevel"/>
    <w:tmpl w:val="0EA89440"/>
    <w:lvl w:ilvl="0">
      <w:start w:val="2"/>
      <w:numFmt w:val="decimal"/>
      <w:lvlText w:val="%1."/>
      <w:lvlJc w:val="left"/>
      <w:pPr>
        <w:tabs>
          <w:tab w:val="num" w:pos="360"/>
        </w:tabs>
        <w:ind w:left="360" w:hanging="360"/>
      </w:pPr>
      <w:rPr>
        <w:rFonts w:hint="default"/>
        <w:caps w:val="0"/>
        <w:strike w:val="0"/>
        <w:dstrike w:val="0"/>
        <w:vanish w:val="0"/>
        <w:color w:val="auto"/>
      </w:rPr>
    </w:lvl>
    <w:lvl w:ilvl="1">
      <w:start w:val="1"/>
      <w:numFmt w:val="decimal"/>
      <w:lvlText w:val="%1.%2"/>
      <w:lvlJc w:val="left"/>
      <w:pPr>
        <w:tabs>
          <w:tab w:val="num" w:pos="720"/>
        </w:tabs>
        <w:ind w:left="720" w:hanging="720"/>
      </w:pPr>
      <w:rPr>
        <w:b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7" w15:restartNumberingAfterBreak="0">
    <w:nsid w:val="5E2C0D5E"/>
    <w:multiLevelType w:val="hybridMultilevel"/>
    <w:tmpl w:val="97D0AF8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4CC33C1"/>
    <w:multiLevelType w:val="multilevel"/>
    <w:tmpl w:val="8A9E5B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11"/>
        </w:tabs>
        <w:ind w:left="611" w:hanging="720"/>
      </w:pPr>
      <w:rPr>
        <w:rFonts w:hint="default"/>
      </w:rPr>
    </w:lvl>
    <w:lvl w:ilvl="2">
      <w:start w:val="1"/>
      <w:numFmt w:val="decimal"/>
      <w:lvlText w:val="%1.%2.%3"/>
      <w:lvlJc w:val="left"/>
      <w:pPr>
        <w:tabs>
          <w:tab w:val="num" w:pos="502"/>
        </w:tabs>
        <w:ind w:left="502" w:hanging="720"/>
      </w:pPr>
      <w:rPr>
        <w:rFonts w:hint="default"/>
      </w:rPr>
    </w:lvl>
    <w:lvl w:ilvl="3">
      <w:start w:val="1"/>
      <w:numFmt w:val="decimal"/>
      <w:lvlText w:val="%1.%2.%3.%4"/>
      <w:lvlJc w:val="left"/>
      <w:pPr>
        <w:tabs>
          <w:tab w:val="num" w:pos="753"/>
        </w:tabs>
        <w:ind w:left="753" w:hanging="1080"/>
      </w:pPr>
      <w:rPr>
        <w:rFonts w:hint="default"/>
      </w:rPr>
    </w:lvl>
    <w:lvl w:ilvl="4">
      <w:start w:val="1"/>
      <w:numFmt w:val="decimal"/>
      <w:lvlText w:val="%1.%2.%3.%4.%5"/>
      <w:lvlJc w:val="left"/>
      <w:pPr>
        <w:tabs>
          <w:tab w:val="num" w:pos="1004"/>
        </w:tabs>
        <w:ind w:left="1004" w:hanging="1440"/>
      </w:pPr>
      <w:rPr>
        <w:rFonts w:hint="default"/>
      </w:rPr>
    </w:lvl>
    <w:lvl w:ilvl="5">
      <w:start w:val="1"/>
      <w:numFmt w:val="decimal"/>
      <w:lvlText w:val="%1.%2.%3.%4.%5.%6"/>
      <w:lvlJc w:val="left"/>
      <w:pPr>
        <w:tabs>
          <w:tab w:val="num" w:pos="895"/>
        </w:tabs>
        <w:ind w:left="895" w:hanging="1440"/>
      </w:pPr>
      <w:rPr>
        <w:rFonts w:hint="default"/>
      </w:rPr>
    </w:lvl>
    <w:lvl w:ilvl="6">
      <w:start w:val="1"/>
      <w:numFmt w:val="decimal"/>
      <w:lvlText w:val="%1.%2.%3.%4.%5.%6.%7"/>
      <w:lvlJc w:val="left"/>
      <w:pPr>
        <w:tabs>
          <w:tab w:val="num" w:pos="1146"/>
        </w:tabs>
        <w:ind w:left="1146" w:hanging="1800"/>
      </w:pPr>
      <w:rPr>
        <w:rFonts w:hint="default"/>
      </w:rPr>
    </w:lvl>
    <w:lvl w:ilvl="7">
      <w:start w:val="1"/>
      <w:numFmt w:val="decimal"/>
      <w:lvlText w:val="%1.%2.%3.%4.%5.%6.%7.%8"/>
      <w:lvlJc w:val="left"/>
      <w:pPr>
        <w:tabs>
          <w:tab w:val="num" w:pos="1397"/>
        </w:tabs>
        <w:ind w:left="1397" w:hanging="2160"/>
      </w:pPr>
      <w:rPr>
        <w:rFonts w:hint="default"/>
      </w:rPr>
    </w:lvl>
    <w:lvl w:ilvl="8">
      <w:start w:val="1"/>
      <w:numFmt w:val="decimal"/>
      <w:lvlText w:val="%1.%2.%3.%4.%5.%6.%7.%8.%9"/>
      <w:lvlJc w:val="left"/>
      <w:pPr>
        <w:tabs>
          <w:tab w:val="num" w:pos="1288"/>
        </w:tabs>
        <w:ind w:left="1288" w:hanging="2160"/>
      </w:pPr>
      <w:rPr>
        <w:rFonts w:hint="default"/>
      </w:rPr>
    </w:lvl>
  </w:abstractNum>
  <w:abstractNum w:abstractNumId="19" w15:restartNumberingAfterBreak="0">
    <w:nsid w:val="6E992E5D"/>
    <w:multiLevelType w:val="multilevel"/>
    <w:tmpl w:val="D64239C6"/>
    <w:lvl w:ilvl="0">
      <w:start w:val="2"/>
      <w:numFmt w:val="decimal"/>
      <w:lvlText w:val="%1."/>
      <w:lvlJc w:val="left"/>
      <w:pPr>
        <w:ind w:left="360" w:hanging="360"/>
      </w:pPr>
      <w:rPr>
        <w:rFonts w:ascii="Calibri" w:hAnsi="Calibri" w:cs="Times New Roman" w:hint="default"/>
        <w:color w:val="auto"/>
        <w:sz w:val="22"/>
      </w:rPr>
    </w:lvl>
    <w:lvl w:ilvl="1">
      <w:start w:val="2"/>
      <w:numFmt w:val="decimal"/>
      <w:lvlText w:val="%1.%2."/>
      <w:lvlJc w:val="left"/>
      <w:pPr>
        <w:ind w:left="720" w:hanging="720"/>
      </w:pPr>
      <w:rPr>
        <w:rFonts w:ascii="Calibri" w:hAnsi="Calibri" w:cs="Times New Roman" w:hint="default"/>
        <w:color w:val="auto"/>
        <w:sz w:val="22"/>
      </w:rPr>
    </w:lvl>
    <w:lvl w:ilvl="2">
      <w:start w:val="1"/>
      <w:numFmt w:val="decimal"/>
      <w:lvlText w:val="%1.%2.%3."/>
      <w:lvlJc w:val="left"/>
      <w:pPr>
        <w:ind w:left="720" w:hanging="720"/>
      </w:pPr>
      <w:rPr>
        <w:rFonts w:ascii="Calibri" w:hAnsi="Calibri" w:cs="Times New Roman" w:hint="default"/>
        <w:color w:val="auto"/>
        <w:sz w:val="22"/>
      </w:rPr>
    </w:lvl>
    <w:lvl w:ilvl="3">
      <w:start w:val="1"/>
      <w:numFmt w:val="decimal"/>
      <w:lvlText w:val="%1.%2.%3.%3."/>
      <w:lvlJc w:val="left"/>
      <w:pPr>
        <w:ind w:left="1080" w:hanging="1080"/>
      </w:pPr>
      <w:rPr>
        <w:rFonts w:ascii="Calibri" w:hAnsi="Calibri" w:cs="Times New Roman" w:hint="default"/>
        <w:color w:val="auto"/>
        <w:sz w:val="22"/>
      </w:rPr>
    </w:lvl>
    <w:lvl w:ilvl="4">
      <w:start w:val="1"/>
      <w:numFmt w:val="decimal"/>
      <w:lvlText w:val="%1.%2.%3.%3.%4."/>
      <w:lvlJc w:val="left"/>
      <w:pPr>
        <w:ind w:left="1080" w:hanging="1080"/>
      </w:pPr>
      <w:rPr>
        <w:rFonts w:ascii="Calibri" w:hAnsi="Calibri" w:cs="Times New Roman" w:hint="default"/>
        <w:color w:val="auto"/>
        <w:sz w:val="22"/>
      </w:rPr>
    </w:lvl>
    <w:lvl w:ilvl="5">
      <w:start w:val="1"/>
      <w:numFmt w:val="decimal"/>
      <w:lvlText w:val="%1.%2.%3.%3.%4.%5."/>
      <w:lvlJc w:val="left"/>
      <w:pPr>
        <w:ind w:left="1440" w:hanging="1440"/>
      </w:pPr>
      <w:rPr>
        <w:rFonts w:ascii="Calibri" w:hAnsi="Calibri" w:cs="Times New Roman" w:hint="default"/>
        <w:color w:val="auto"/>
        <w:sz w:val="22"/>
      </w:rPr>
    </w:lvl>
    <w:lvl w:ilvl="6">
      <w:start w:val="1"/>
      <w:numFmt w:val="decimal"/>
      <w:lvlText w:val="%1.%2.%3.%3.%4.%5.%6."/>
      <w:lvlJc w:val="left"/>
      <w:pPr>
        <w:ind w:left="1440" w:hanging="1440"/>
      </w:pPr>
      <w:rPr>
        <w:rFonts w:ascii="Calibri" w:hAnsi="Calibri" w:cs="Times New Roman" w:hint="default"/>
        <w:color w:val="auto"/>
        <w:sz w:val="22"/>
      </w:rPr>
    </w:lvl>
    <w:lvl w:ilvl="7">
      <w:start w:val="1"/>
      <w:numFmt w:val="decimal"/>
      <w:lvlText w:val="%1.%2.%3.%3.%4.%5.%6.%7."/>
      <w:lvlJc w:val="left"/>
      <w:pPr>
        <w:ind w:left="1800" w:hanging="1800"/>
      </w:pPr>
      <w:rPr>
        <w:rFonts w:ascii="Calibri" w:hAnsi="Calibri" w:cs="Times New Roman" w:hint="default"/>
        <w:color w:val="auto"/>
        <w:sz w:val="22"/>
      </w:rPr>
    </w:lvl>
    <w:lvl w:ilvl="8">
      <w:start w:val="1"/>
      <w:numFmt w:val="decimal"/>
      <w:lvlText w:val="%1.%2.%3.%3.%4.%5.%6.%7.%8."/>
      <w:lvlJc w:val="left"/>
      <w:pPr>
        <w:ind w:left="1800" w:hanging="1800"/>
      </w:pPr>
      <w:rPr>
        <w:rFonts w:ascii="Calibri" w:hAnsi="Calibri" w:cs="Times New Roman" w:hint="default"/>
        <w:color w:val="auto"/>
        <w:sz w:val="22"/>
      </w:rPr>
    </w:lvl>
  </w:abstractNum>
  <w:abstractNum w:abstractNumId="20" w15:restartNumberingAfterBreak="0">
    <w:nsid w:val="7177225D"/>
    <w:multiLevelType w:val="hybridMultilevel"/>
    <w:tmpl w:val="B328A5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18"/>
  </w:num>
  <w:num w:numId="14">
    <w:abstractNumId w:val="15"/>
  </w:num>
  <w:num w:numId="15">
    <w:abstractNumId w:val="13"/>
  </w:num>
  <w:num w:numId="16">
    <w:abstractNumId w:val="12"/>
  </w:num>
  <w:num w:numId="17">
    <w:abstractNumId w:val="19"/>
  </w:num>
  <w:num w:numId="18">
    <w:abstractNumId w:val="17"/>
  </w:num>
  <w:num w:numId="19">
    <w:abstractNumId w:val="11"/>
  </w:num>
  <w:num w:numId="20">
    <w:abstractNumId w:val="10"/>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odora Filandra">
    <w15:presenceInfo w15:providerId="AD" w15:userId="S-1-5-21-1521632032-673206136-231834595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FF"/>
    <w:rsid w:val="00002655"/>
    <w:rsid w:val="000055AC"/>
    <w:rsid w:val="0001232B"/>
    <w:rsid w:val="00014578"/>
    <w:rsid w:val="00026952"/>
    <w:rsid w:val="000358F8"/>
    <w:rsid w:val="0004398D"/>
    <w:rsid w:val="00044963"/>
    <w:rsid w:val="0005714E"/>
    <w:rsid w:val="00060353"/>
    <w:rsid w:val="0006140C"/>
    <w:rsid w:val="0006560B"/>
    <w:rsid w:val="00067DC1"/>
    <w:rsid w:val="00071ABA"/>
    <w:rsid w:val="000774C2"/>
    <w:rsid w:val="00081E39"/>
    <w:rsid w:val="000827CF"/>
    <w:rsid w:val="0009015B"/>
    <w:rsid w:val="00092A4D"/>
    <w:rsid w:val="000B4E51"/>
    <w:rsid w:val="000C1061"/>
    <w:rsid w:val="000C2FCA"/>
    <w:rsid w:val="000C607D"/>
    <w:rsid w:val="000D21FA"/>
    <w:rsid w:val="000D319F"/>
    <w:rsid w:val="000D3944"/>
    <w:rsid w:val="000E1AC1"/>
    <w:rsid w:val="000F0DB3"/>
    <w:rsid w:val="000F2586"/>
    <w:rsid w:val="000F6DF0"/>
    <w:rsid w:val="000F763F"/>
    <w:rsid w:val="001007F1"/>
    <w:rsid w:val="00104771"/>
    <w:rsid w:val="00105AF3"/>
    <w:rsid w:val="001066DF"/>
    <w:rsid w:val="0010712E"/>
    <w:rsid w:val="00111E0D"/>
    <w:rsid w:val="00117891"/>
    <w:rsid w:val="00120554"/>
    <w:rsid w:val="00121C45"/>
    <w:rsid w:val="001221C0"/>
    <w:rsid w:val="001235E1"/>
    <w:rsid w:val="0013171D"/>
    <w:rsid w:val="001332F3"/>
    <w:rsid w:val="00135FE7"/>
    <w:rsid w:val="0014092D"/>
    <w:rsid w:val="00142140"/>
    <w:rsid w:val="00145FF4"/>
    <w:rsid w:val="001541FC"/>
    <w:rsid w:val="00155576"/>
    <w:rsid w:val="00155A17"/>
    <w:rsid w:val="001654EB"/>
    <w:rsid w:val="00176834"/>
    <w:rsid w:val="0018088B"/>
    <w:rsid w:val="0018147D"/>
    <w:rsid w:val="0019364C"/>
    <w:rsid w:val="00193C14"/>
    <w:rsid w:val="001955AB"/>
    <w:rsid w:val="00196110"/>
    <w:rsid w:val="001A007F"/>
    <w:rsid w:val="001A04E5"/>
    <w:rsid w:val="001A3BBF"/>
    <w:rsid w:val="001A47A4"/>
    <w:rsid w:val="001A515D"/>
    <w:rsid w:val="001B0656"/>
    <w:rsid w:val="001B6368"/>
    <w:rsid w:val="001B7519"/>
    <w:rsid w:val="001C07AC"/>
    <w:rsid w:val="001C0A2E"/>
    <w:rsid w:val="001C698B"/>
    <w:rsid w:val="001D1B1C"/>
    <w:rsid w:val="001D2694"/>
    <w:rsid w:val="001D4558"/>
    <w:rsid w:val="001D54D9"/>
    <w:rsid w:val="001E099D"/>
    <w:rsid w:val="001E3217"/>
    <w:rsid w:val="001E63C2"/>
    <w:rsid w:val="001F038C"/>
    <w:rsid w:val="001F0D69"/>
    <w:rsid w:val="001F2296"/>
    <w:rsid w:val="001F3AE2"/>
    <w:rsid w:val="001F7E31"/>
    <w:rsid w:val="0021250A"/>
    <w:rsid w:val="00215A12"/>
    <w:rsid w:val="00221278"/>
    <w:rsid w:val="00222045"/>
    <w:rsid w:val="00222BE7"/>
    <w:rsid w:val="00235D06"/>
    <w:rsid w:val="0024202B"/>
    <w:rsid w:val="002430E8"/>
    <w:rsid w:val="00244DC3"/>
    <w:rsid w:val="00245426"/>
    <w:rsid w:val="00246D2E"/>
    <w:rsid w:val="00247AA2"/>
    <w:rsid w:val="0025162D"/>
    <w:rsid w:val="002523EF"/>
    <w:rsid w:val="00253B94"/>
    <w:rsid w:val="00254439"/>
    <w:rsid w:val="00263EB5"/>
    <w:rsid w:val="0026599C"/>
    <w:rsid w:val="00267F68"/>
    <w:rsid w:val="00276AAE"/>
    <w:rsid w:val="00277976"/>
    <w:rsid w:val="002811E4"/>
    <w:rsid w:val="002817F5"/>
    <w:rsid w:val="0029126A"/>
    <w:rsid w:val="00292B67"/>
    <w:rsid w:val="0029307B"/>
    <w:rsid w:val="00295C48"/>
    <w:rsid w:val="002973BD"/>
    <w:rsid w:val="002A192D"/>
    <w:rsid w:val="002A3AAC"/>
    <w:rsid w:val="002A717D"/>
    <w:rsid w:val="002B22B1"/>
    <w:rsid w:val="002B3983"/>
    <w:rsid w:val="002B7965"/>
    <w:rsid w:val="002C0F60"/>
    <w:rsid w:val="002C423E"/>
    <w:rsid w:val="002D3446"/>
    <w:rsid w:val="002D7A51"/>
    <w:rsid w:val="002E05CD"/>
    <w:rsid w:val="002E129A"/>
    <w:rsid w:val="002E2419"/>
    <w:rsid w:val="002E263A"/>
    <w:rsid w:val="002E5770"/>
    <w:rsid w:val="002E5F94"/>
    <w:rsid w:val="002E691E"/>
    <w:rsid w:val="002E7174"/>
    <w:rsid w:val="002F5BD5"/>
    <w:rsid w:val="0030235A"/>
    <w:rsid w:val="00305EAC"/>
    <w:rsid w:val="00310942"/>
    <w:rsid w:val="00313869"/>
    <w:rsid w:val="00316C81"/>
    <w:rsid w:val="00325C18"/>
    <w:rsid w:val="00326E87"/>
    <w:rsid w:val="003363E5"/>
    <w:rsid w:val="00341043"/>
    <w:rsid w:val="0034108A"/>
    <w:rsid w:val="0034124D"/>
    <w:rsid w:val="003458B7"/>
    <w:rsid w:val="003476B5"/>
    <w:rsid w:val="0037093A"/>
    <w:rsid w:val="00370A60"/>
    <w:rsid w:val="00371885"/>
    <w:rsid w:val="00373A3E"/>
    <w:rsid w:val="00374E70"/>
    <w:rsid w:val="003824C0"/>
    <w:rsid w:val="003870F9"/>
    <w:rsid w:val="003872AF"/>
    <w:rsid w:val="00393AE5"/>
    <w:rsid w:val="003A1B24"/>
    <w:rsid w:val="003A55C7"/>
    <w:rsid w:val="003A79A7"/>
    <w:rsid w:val="003B2662"/>
    <w:rsid w:val="003B60B1"/>
    <w:rsid w:val="003C04D2"/>
    <w:rsid w:val="003C1850"/>
    <w:rsid w:val="003C275B"/>
    <w:rsid w:val="003C3830"/>
    <w:rsid w:val="003D0C69"/>
    <w:rsid w:val="003D1E0A"/>
    <w:rsid w:val="003D7F2A"/>
    <w:rsid w:val="003E137B"/>
    <w:rsid w:val="003E39BE"/>
    <w:rsid w:val="003F2068"/>
    <w:rsid w:val="003F3CAF"/>
    <w:rsid w:val="003F3E0D"/>
    <w:rsid w:val="003F3FDE"/>
    <w:rsid w:val="003F4820"/>
    <w:rsid w:val="003F48A0"/>
    <w:rsid w:val="003F7720"/>
    <w:rsid w:val="00400C9C"/>
    <w:rsid w:val="00401F4D"/>
    <w:rsid w:val="0040788B"/>
    <w:rsid w:val="004139EB"/>
    <w:rsid w:val="004140EF"/>
    <w:rsid w:val="00423EB0"/>
    <w:rsid w:val="0042792F"/>
    <w:rsid w:val="004323AD"/>
    <w:rsid w:val="00432641"/>
    <w:rsid w:val="004330AC"/>
    <w:rsid w:val="00433D89"/>
    <w:rsid w:val="00444289"/>
    <w:rsid w:val="0044542B"/>
    <w:rsid w:val="00451E84"/>
    <w:rsid w:val="004561D4"/>
    <w:rsid w:val="00460EC3"/>
    <w:rsid w:val="00461DF4"/>
    <w:rsid w:val="00477D2D"/>
    <w:rsid w:val="004810B2"/>
    <w:rsid w:val="00485C4D"/>
    <w:rsid w:val="00487C6E"/>
    <w:rsid w:val="0049112F"/>
    <w:rsid w:val="00491D1B"/>
    <w:rsid w:val="00494D1E"/>
    <w:rsid w:val="004959F8"/>
    <w:rsid w:val="004A4D41"/>
    <w:rsid w:val="004B07CE"/>
    <w:rsid w:val="004B14B7"/>
    <w:rsid w:val="004B2675"/>
    <w:rsid w:val="004B45D5"/>
    <w:rsid w:val="004B4678"/>
    <w:rsid w:val="004C464F"/>
    <w:rsid w:val="004D2A80"/>
    <w:rsid w:val="004D6401"/>
    <w:rsid w:val="004E2F4C"/>
    <w:rsid w:val="004E4655"/>
    <w:rsid w:val="004F141D"/>
    <w:rsid w:val="004F2E5B"/>
    <w:rsid w:val="004F4CF4"/>
    <w:rsid w:val="004F58AC"/>
    <w:rsid w:val="00500ECF"/>
    <w:rsid w:val="005010DF"/>
    <w:rsid w:val="00501601"/>
    <w:rsid w:val="00505419"/>
    <w:rsid w:val="00506916"/>
    <w:rsid w:val="005154AE"/>
    <w:rsid w:val="00517AAD"/>
    <w:rsid w:val="005202BE"/>
    <w:rsid w:val="00521663"/>
    <w:rsid w:val="005306F0"/>
    <w:rsid w:val="005347BC"/>
    <w:rsid w:val="00537AC9"/>
    <w:rsid w:val="00541B4F"/>
    <w:rsid w:val="00547318"/>
    <w:rsid w:val="00556060"/>
    <w:rsid w:val="005609B2"/>
    <w:rsid w:val="00573B23"/>
    <w:rsid w:val="0057576E"/>
    <w:rsid w:val="00575E97"/>
    <w:rsid w:val="0058405F"/>
    <w:rsid w:val="00586FAD"/>
    <w:rsid w:val="0059194F"/>
    <w:rsid w:val="005A460A"/>
    <w:rsid w:val="005B269F"/>
    <w:rsid w:val="005B76E7"/>
    <w:rsid w:val="005C1D77"/>
    <w:rsid w:val="005C28E6"/>
    <w:rsid w:val="005C29FF"/>
    <w:rsid w:val="005C4E3E"/>
    <w:rsid w:val="005C519C"/>
    <w:rsid w:val="005C5A21"/>
    <w:rsid w:val="005D0E56"/>
    <w:rsid w:val="005E085C"/>
    <w:rsid w:val="005E0E50"/>
    <w:rsid w:val="005E201D"/>
    <w:rsid w:val="005E2B41"/>
    <w:rsid w:val="005E60FA"/>
    <w:rsid w:val="006000A5"/>
    <w:rsid w:val="00623172"/>
    <w:rsid w:val="00625305"/>
    <w:rsid w:val="00626174"/>
    <w:rsid w:val="00627442"/>
    <w:rsid w:val="00627ABF"/>
    <w:rsid w:val="00634076"/>
    <w:rsid w:val="00635505"/>
    <w:rsid w:val="0063770B"/>
    <w:rsid w:val="006428CF"/>
    <w:rsid w:val="0064320A"/>
    <w:rsid w:val="006457B2"/>
    <w:rsid w:val="0065513F"/>
    <w:rsid w:val="00655193"/>
    <w:rsid w:val="00656AC8"/>
    <w:rsid w:val="00657383"/>
    <w:rsid w:val="0066039D"/>
    <w:rsid w:val="00663C7E"/>
    <w:rsid w:val="00665C62"/>
    <w:rsid w:val="00666332"/>
    <w:rsid w:val="00667A49"/>
    <w:rsid w:val="006753B5"/>
    <w:rsid w:val="00686D9B"/>
    <w:rsid w:val="00694A62"/>
    <w:rsid w:val="00694E2E"/>
    <w:rsid w:val="006963C0"/>
    <w:rsid w:val="006973D0"/>
    <w:rsid w:val="006A4E16"/>
    <w:rsid w:val="006B28BA"/>
    <w:rsid w:val="006B2C94"/>
    <w:rsid w:val="006B41C2"/>
    <w:rsid w:val="006B5788"/>
    <w:rsid w:val="006C034A"/>
    <w:rsid w:val="006C3C50"/>
    <w:rsid w:val="006C5BC3"/>
    <w:rsid w:val="006C5DE2"/>
    <w:rsid w:val="006C64EB"/>
    <w:rsid w:val="006C7D96"/>
    <w:rsid w:val="006D79CF"/>
    <w:rsid w:val="006E0818"/>
    <w:rsid w:val="006E529C"/>
    <w:rsid w:val="006F2307"/>
    <w:rsid w:val="006F3190"/>
    <w:rsid w:val="006F5255"/>
    <w:rsid w:val="006F5660"/>
    <w:rsid w:val="006F7BE2"/>
    <w:rsid w:val="00703036"/>
    <w:rsid w:val="0070596E"/>
    <w:rsid w:val="00712FB0"/>
    <w:rsid w:val="007155A3"/>
    <w:rsid w:val="00715F90"/>
    <w:rsid w:val="0071744A"/>
    <w:rsid w:val="007246C9"/>
    <w:rsid w:val="0072781F"/>
    <w:rsid w:val="00733058"/>
    <w:rsid w:val="00737EE1"/>
    <w:rsid w:val="00743AF5"/>
    <w:rsid w:val="007525C8"/>
    <w:rsid w:val="0075720B"/>
    <w:rsid w:val="00757958"/>
    <w:rsid w:val="00761AF0"/>
    <w:rsid w:val="00766062"/>
    <w:rsid w:val="00777529"/>
    <w:rsid w:val="00777A88"/>
    <w:rsid w:val="00777EE7"/>
    <w:rsid w:val="007941F9"/>
    <w:rsid w:val="00796E25"/>
    <w:rsid w:val="00797E1B"/>
    <w:rsid w:val="00797EF2"/>
    <w:rsid w:val="007A2381"/>
    <w:rsid w:val="007B1E52"/>
    <w:rsid w:val="007C4BFA"/>
    <w:rsid w:val="007D093B"/>
    <w:rsid w:val="007D3853"/>
    <w:rsid w:val="007E3115"/>
    <w:rsid w:val="007E4C71"/>
    <w:rsid w:val="007E6E4F"/>
    <w:rsid w:val="00805D0C"/>
    <w:rsid w:val="00814531"/>
    <w:rsid w:val="008204A7"/>
    <w:rsid w:val="00822C3B"/>
    <w:rsid w:val="0082649E"/>
    <w:rsid w:val="0084751F"/>
    <w:rsid w:val="00852202"/>
    <w:rsid w:val="00852BE0"/>
    <w:rsid w:val="008565FD"/>
    <w:rsid w:val="00856616"/>
    <w:rsid w:val="00861BF3"/>
    <w:rsid w:val="00862DDC"/>
    <w:rsid w:val="00866AB0"/>
    <w:rsid w:val="00871BF4"/>
    <w:rsid w:val="0088788E"/>
    <w:rsid w:val="00890DDF"/>
    <w:rsid w:val="00895955"/>
    <w:rsid w:val="008A28FA"/>
    <w:rsid w:val="008A2DCA"/>
    <w:rsid w:val="008A3384"/>
    <w:rsid w:val="008A3B93"/>
    <w:rsid w:val="008A447A"/>
    <w:rsid w:val="008A574C"/>
    <w:rsid w:val="008B5A4D"/>
    <w:rsid w:val="008B67CC"/>
    <w:rsid w:val="008C1409"/>
    <w:rsid w:val="008D0CB6"/>
    <w:rsid w:val="008D1CED"/>
    <w:rsid w:val="008E404F"/>
    <w:rsid w:val="008F4484"/>
    <w:rsid w:val="008F4DD1"/>
    <w:rsid w:val="008F4F29"/>
    <w:rsid w:val="009050E7"/>
    <w:rsid w:val="009054DD"/>
    <w:rsid w:val="009077DE"/>
    <w:rsid w:val="009143B3"/>
    <w:rsid w:val="00914E88"/>
    <w:rsid w:val="009175D3"/>
    <w:rsid w:val="009245AC"/>
    <w:rsid w:val="0092524D"/>
    <w:rsid w:val="009312E5"/>
    <w:rsid w:val="00934E24"/>
    <w:rsid w:val="00941B55"/>
    <w:rsid w:val="00945C9E"/>
    <w:rsid w:val="00945EB4"/>
    <w:rsid w:val="0094741A"/>
    <w:rsid w:val="009512C0"/>
    <w:rsid w:val="0096536D"/>
    <w:rsid w:val="00970A2F"/>
    <w:rsid w:val="00970FA6"/>
    <w:rsid w:val="0097349D"/>
    <w:rsid w:val="009745E2"/>
    <w:rsid w:val="00976238"/>
    <w:rsid w:val="00976561"/>
    <w:rsid w:val="00980C23"/>
    <w:rsid w:val="00981DD9"/>
    <w:rsid w:val="009842F6"/>
    <w:rsid w:val="00984518"/>
    <w:rsid w:val="00985BE6"/>
    <w:rsid w:val="0099425F"/>
    <w:rsid w:val="00994EC4"/>
    <w:rsid w:val="009969DF"/>
    <w:rsid w:val="009974F0"/>
    <w:rsid w:val="00997CBB"/>
    <w:rsid w:val="009C6062"/>
    <w:rsid w:val="009C620A"/>
    <w:rsid w:val="009C6D03"/>
    <w:rsid w:val="009D7031"/>
    <w:rsid w:val="009D7F99"/>
    <w:rsid w:val="009E639D"/>
    <w:rsid w:val="009F6449"/>
    <w:rsid w:val="009F7508"/>
    <w:rsid w:val="00A02C7B"/>
    <w:rsid w:val="00A17759"/>
    <w:rsid w:val="00A17B5D"/>
    <w:rsid w:val="00A24419"/>
    <w:rsid w:val="00A30F7B"/>
    <w:rsid w:val="00A32F01"/>
    <w:rsid w:val="00A36EC0"/>
    <w:rsid w:val="00A41000"/>
    <w:rsid w:val="00A43426"/>
    <w:rsid w:val="00A455D4"/>
    <w:rsid w:val="00A45DAA"/>
    <w:rsid w:val="00A52E7E"/>
    <w:rsid w:val="00A54DB5"/>
    <w:rsid w:val="00A55D6C"/>
    <w:rsid w:val="00A74244"/>
    <w:rsid w:val="00A74311"/>
    <w:rsid w:val="00A76645"/>
    <w:rsid w:val="00A80BFD"/>
    <w:rsid w:val="00A8385A"/>
    <w:rsid w:val="00A84868"/>
    <w:rsid w:val="00A86644"/>
    <w:rsid w:val="00A871DE"/>
    <w:rsid w:val="00A9214B"/>
    <w:rsid w:val="00A930D3"/>
    <w:rsid w:val="00AA1B53"/>
    <w:rsid w:val="00AA2493"/>
    <w:rsid w:val="00AA2F0D"/>
    <w:rsid w:val="00AA3F52"/>
    <w:rsid w:val="00AA4A8B"/>
    <w:rsid w:val="00AB2E33"/>
    <w:rsid w:val="00AB4484"/>
    <w:rsid w:val="00AB7F09"/>
    <w:rsid w:val="00AC17C5"/>
    <w:rsid w:val="00AC20D7"/>
    <w:rsid w:val="00AC3B28"/>
    <w:rsid w:val="00AC4D48"/>
    <w:rsid w:val="00AD1B23"/>
    <w:rsid w:val="00AE1735"/>
    <w:rsid w:val="00AF23CC"/>
    <w:rsid w:val="00AF4F11"/>
    <w:rsid w:val="00B0166B"/>
    <w:rsid w:val="00B02857"/>
    <w:rsid w:val="00B0615F"/>
    <w:rsid w:val="00B06B02"/>
    <w:rsid w:val="00B11E75"/>
    <w:rsid w:val="00B13013"/>
    <w:rsid w:val="00B15B2A"/>
    <w:rsid w:val="00B15F7C"/>
    <w:rsid w:val="00B16106"/>
    <w:rsid w:val="00B16960"/>
    <w:rsid w:val="00B16A37"/>
    <w:rsid w:val="00B2080E"/>
    <w:rsid w:val="00B21E69"/>
    <w:rsid w:val="00B2598D"/>
    <w:rsid w:val="00B25FA4"/>
    <w:rsid w:val="00B4147F"/>
    <w:rsid w:val="00B4162E"/>
    <w:rsid w:val="00B43078"/>
    <w:rsid w:val="00B45E14"/>
    <w:rsid w:val="00B63E6A"/>
    <w:rsid w:val="00B63FD1"/>
    <w:rsid w:val="00B65B00"/>
    <w:rsid w:val="00B7219C"/>
    <w:rsid w:val="00B7733A"/>
    <w:rsid w:val="00B81A84"/>
    <w:rsid w:val="00B859E4"/>
    <w:rsid w:val="00B97F03"/>
    <w:rsid w:val="00BA2E80"/>
    <w:rsid w:val="00BA7E51"/>
    <w:rsid w:val="00BB01BA"/>
    <w:rsid w:val="00BD0134"/>
    <w:rsid w:val="00BD4B35"/>
    <w:rsid w:val="00BD663A"/>
    <w:rsid w:val="00BD765C"/>
    <w:rsid w:val="00BD7B22"/>
    <w:rsid w:val="00BE6994"/>
    <w:rsid w:val="00BF37A7"/>
    <w:rsid w:val="00BF65B5"/>
    <w:rsid w:val="00C010DD"/>
    <w:rsid w:val="00C01739"/>
    <w:rsid w:val="00C04E01"/>
    <w:rsid w:val="00C059AC"/>
    <w:rsid w:val="00C14C03"/>
    <w:rsid w:val="00C17562"/>
    <w:rsid w:val="00C20221"/>
    <w:rsid w:val="00C21FB0"/>
    <w:rsid w:val="00C229F3"/>
    <w:rsid w:val="00C230C2"/>
    <w:rsid w:val="00C23C4F"/>
    <w:rsid w:val="00C25ABC"/>
    <w:rsid w:val="00C26C4E"/>
    <w:rsid w:val="00C31277"/>
    <w:rsid w:val="00C31F4A"/>
    <w:rsid w:val="00C371AF"/>
    <w:rsid w:val="00C40446"/>
    <w:rsid w:val="00C431CE"/>
    <w:rsid w:val="00C432C8"/>
    <w:rsid w:val="00C432E9"/>
    <w:rsid w:val="00C442E7"/>
    <w:rsid w:val="00C46CB1"/>
    <w:rsid w:val="00C521E0"/>
    <w:rsid w:val="00C62597"/>
    <w:rsid w:val="00C72FB0"/>
    <w:rsid w:val="00C87552"/>
    <w:rsid w:val="00C91DFC"/>
    <w:rsid w:val="00C9624B"/>
    <w:rsid w:val="00CB6DE5"/>
    <w:rsid w:val="00CC1C5C"/>
    <w:rsid w:val="00CC3EC7"/>
    <w:rsid w:val="00CC5429"/>
    <w:rsid w:val="00CD4911"/>
    <w:rsid w:val="00CD7496"/>
    <w:rsid w:val="00CE19A4"/>
    <w:rsid w:val="00CE6BF9"/>
    <w:rsid w:val="00CE6F52"/>
    <w:rsid w:val="00CE7451"/>
    <w:rsid w:val="00CF073B"/>
    <w:rsid w:val="00CF5670"/>
    <w:rsid w:val="00D033AE"/>
    <w:rsid w:val="00D15290"/>
    <w:rsid w:val="00D154CB"/>
    <w:rsid w:val="00D17629"/>
    <w:rsid w:val="00D20356"/>
    <w:rsid w:val="00D23B35"/>
    <w:rsid w:val="00D24832"/>
    <w:rsid w:val="00D25416"/>
    <w:rsid w:val="00D272B0"/>
    <w:rsid w:val="00D27D87"/>
    <w:rsid w:val="00D31A99"/>
    <w:rsid w:val="00D3315B"/>
    <w:rsid w:val="00D41FD6"/>
    <w:rsid w:val="00D50937"/>
    <w:rsid w:val="00D50CE8"/>
    <w:rsid w:val="00D55B02"/>
    <w:rsid w:val="00D61EAA"/>
    <w:rsid w:val="00D70FDF"/>
    <w:rsid w:val="00D712C9"/>
    <w:rsid w:val="00D73ADF"/>
    <w:rsid w:val="00D74D36"/>
    <w:rsid w:val="00D839E5"/>
    <w:rsid w:val="00D83A10"/>
    <w:rsid w:val="00D83FC1"/>
    <w:rsid w:val="00D858B1"/>
    <w:rsid w:val="00D973BA"/>
    <w:rsid w:val="00DA1F29"/>
    <w:rsid w:val="00DA5A77"/>
    <w:rsid w:val="00DA6582"/>
    <w:rsid w:val="00DA7614"/>
    <w:rsid w:val="00DB4702"/>
    <w:rsid w:val="00DC3F98"/>
    <w:rsid w:val="00DD3484"/>
    <w:rsid w:val="00DD440B"/>
    <w:rsid w:val="00DD6A7B"/>
    <w:rsid w:val="00DE13D1"/>
    <w:rsid w:val="00DE19CF"/>
    <w:rsid w:val="00DF44A4"/>
    <w:rsid w:val="00DF5130"/>
    <w:rsid w:val="00DF58BF"/>
    <w:rsid w:val="00DF7B46"/>
    <w:rsid w:val="00E008B6"/>
    <w:rsid w:val="00E04532"/>
    <w:rsid w:val="00E056B1"/>
    <w:rsid w:val="00E07BBB"/>
    <w:rsid w:val="00E13B21"/>
    <w:rsid w:val="00E17053"/>
    <w:rsid w:val="00E1759E"/>
    <w:rsid w:val="00E26B59"/>
    <w:rsid w:val="00E2732A"/>
    <w:rsid w:val="00E331AE"/>
    <w:rsid w:val="00E4238A"/>
    <w:rsid w:val="00E43975"/>
    <w:rsid w:val="00E649D2"/>
    <w:rsid w:val="00E6587B"/>
    <w:rsid w:val="00E66B93"/>
    <w:rsid w:val="00E67841"/>
    <w:rsid w:val="00E70555"/>
    <w:rsid w:val="00E7175F"/>
    <w:rsid w:val="00E72BA5"/>
    <w:rsid w:val="00E735F0"/>
    <w:rsid w:val="00E74AA8"/>
    <w:rsid w:val="00E76D38"/>
    <w:rsid w:val="00E77099"/>
    <w:rsid w:val="00E77C7A"/>
    <w:rsid w:val="00E903EF"/>
    <w:rsid w:val="00E9072F"/>
    <w:rsid w:val="00E97829"/>
    <w:rsid w:val="00E97DF8"/>
    <w:rsid w:val="00EA4A9E"/>
    <w:rsid w:val="00EA564E"/>
    <w:rsid w:val="00EA7D48"/>
    <w:rsid w:val="00EB0994"/>
    <w:rsid w:val="00EB0CC9"/>
    <w:rsid w:val="00EB15C6"/>
    <w:rsid w:val="00EB46E9"/>
    <w:rsid w:val="00EB6EBC"/>
    <w:rsid w:val="00EB77E1"/>
    <w:rsid w:val="00EC3C48"/>
    <w:rsid w:val="00EC3CEA"/>
    <w:rsid w:val="00EC4AA2"/>
    <w:rsid w:val="00EC66E2"/>
    <w:rsid w:val="00ED1999"/>
    <w:rsid w:val="00ED2E81"/>
    <w:rsid w:val="00ED5BAF"/>
    <w:rsid w:val="00ED6CC6"/>
    <w:rsid w:val="00EE00A1"/>
    <w:rsid w:val="00EE6C3F"/>
    <w:rsid w:val="00EE72F2"/>
    <w:rsid w:val="00EF2E99"/>
    <w:rsid w:val="00EF5BE9"/>
    <w:rsid w:val="00EF6025"/>
    <w:rsid w:val="00EF6B3D"/>
    <w:rsid w:val="00F03A54"/>
    <w:rsid w:val="00F10393"/>
    <w:rsid w:val="00F223F6"/>
    <w:rsid w:val="00F22F93"/>
    <w:rsid w:val="00F24994"/>
    <w:rsid w:val="00F25549"/>
    <w:rsid w:val="00F3071C"/>
    <w:rsid w:val="00F42411"/>
    <w:rsid w:val="00F4360C"/>
    <w:rsid w:val="00F43F33"/>
    <w:rsid w:val="00F4586A"/>
    <w:rsid w:val="00F47FA8"/>
    <w:rsid w:val="00F50262"/>
    <w:rsid w:val="00F50E47"/>
    <w:rsid w:val="00F56AD7"/>
    <w:rsid w:val="00F6416E"/>
    <w:rsid w:val="00F65E26"/>
    <w:rsid w:val="00F816E9"/>
    <w:rsid w:val="00F91D5E"/>
    <w:rsid w:val="00FA640A"/>
    <w:rsid w:val="00FA7917"/>
    <w:rsid w:val="00FB3E56"/>
    <w:rsid w:val="00FB6581"/>
    <w:rsid w:val="00FB73BD"/>
    <w:rsid w:val="00FC0268"/>
    <w:rsid w:val="00FC0D75"/>
    <w:rsid w:val="00FC15A2"/>
    <w:rsid w:val="00FC388E"/>
    <w:rsid w:val="00FC48C4"/>
    <w:rsid w:val="00FD02C6"/>
    <w:rsid w:val="00FD142B"/>
    <w:rsid w:val="00FD2222"/>
    <w:rsid w:val="00FD4218"/>
    <w:rsid w:val="00FD4593"/>
    <w:rsid w:val="00FE1C02"/>
    <w:rsid w:val="00FE3450"/>
    <w:rsid w:val="00FF035E"/>
    <w:rsid w:val="00FF5F8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B67B9E"/>
  <w15:docId w15:val="{71B6BE26-11A6-4A73-809F-BEE50C1B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A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rFonts w:cs="Times New Roman"/>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rsid w:val="006F3190"/>
    <w:rPr>
      <w:rFonts w:ascii="Calibri" w:hAnsi="Calibri" w:cs="Calibri"/>
      <w:sz w:val="18"/>
      <w:lang w:val="en-IE" w:eastAsia="zh-CN"/>
    </w:rPr>
  </w:style>
  <w:style w:type="paragraph" w:customStyle="1" w:styleId="para-1">
    <w:name w:val="para-1"/>
    <w:basedOn w:val="Normal"/>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1E3217"/>
    <w:pPr>
      <w:overflowPunct w:val="0"/>
      <w:autoSpaceDE w:val="0"/>
      <w:spacing w:after="0"/>
      <w:textAlignment w:val="baseline"/>
    </w:pPr>
    <w:rPr>
      <w:rFonts w:ascii="Arial" w:hAnsi="Arial" w:cs="Arial"/>
      <w:szCs w:val="20"/>
      <w:lang w:val="el-GR"/>
    </w:rPr>
  </w:style>
  <w:style w:type="paragraph" w:styleId="BodyText2">
    <w:name w:val="Body Text 2"/>
    <w:basedOn w:val="Normal"/>
    <w:link w:val="BodyText2Char"/>
    <w:uiPriority w:val="99"/>
    <w:unhideWhenUsed/>
    <w:rsid w:val="009F7508"/>
    <w:pPr>
      <w:spacing w:line="480" w:lineRule="auto"/>
    </w:pPr>
    <w:rPr>
      <w:rFonts w:cs="Times New Roman"/>
    </w:rPr>
  </w:style>
  <w:style w:type="character" w:customStyle="1" w:styleId="BodyText2Char">
    <w:name w:val="Body Text 2 Char"/>
    <w:link w:val="BodyText2"/>
    <w:uiPriority w:val="99"/>
    <w:rsid w:val="009F7508"/>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C7DD-4CE6-42A3-A9F0-8A39D76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3199</Words>
  <Characters>18237</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Metlife Alico Greece</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Theodora Filandra</cp:lastModifiedBy>
  <cp:revision>2</cp:revision>
  <cp:lastPrinted>2020-04-27T03:36:00Z</cp:lastPrinted>
  <dcterms:created xsi:type="dcterms:W3CDTF">2020-04-29T11:45:00Z</dcterms:created>
  <dcterms:modified xsi:type="dcterms:W3CDTF">2020-04-29T11:45:00Z</dcterms:modified>
</cp:coreProperties>
</file>